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0" w:type="dxa"/>
        <w:tblLayout w:type="fixed"/>
        <w:tblLook w:val="0000" w:firstRow="0" w:lastRow="0" w:firstColumn="0" w:lastColumn="0" w:noHBand="0" w:noVBand="0"/>
      </w:tblPr>
      <w:tblGrid>
        <w:gridCol w:w="5920"/>
        <w:gridCol w:w="3240"/>
      </w:tblGrid>
      <w:tr w:rsidR="00DD5515" w:rsidRPr="00DB7C1C" w:rsidTr="009F2260">
        <w:tc>
          <w:tcPr>
            <w:tcW w:w="5920" w:type="dxa"/>
          </w:tcPr>
          <w:p w:rsidR="00DD5515" w:rsidRDefault="00DD5515" w:rsidP="009F2260">
            <w:pPr>
              <w:pStyle w:val="Heading1"/>
              <w:ind w:right="45"/>
              <w:jc w:val="left"/>
              <w:rPr>
                <w:rFonts w:ascii="Tahoma" w:hAnsi="Tahoma" w:cs="Tahoma"/>
                <w:sz w:val="30"/>
              </w:rPr>
            </w:pPr>
            <w:r>
              <w:rPr>
                <w:rFonts w:ascii="Tahoma" w:hAnsi="Tahoma" w:cs="Tahoma"/>
                <w:sz w:val="30"/>
              </w:rPr>
              <w:t>WEST WALES REGIONAL PARTNERSHIP BOARD</w:t>
            </w:r>
          </w:p>
          <w:p w:rsidR="00DD5515" w:rsidRPr="00702A35" w:rsidRDefault="00DD5515" w:rsidP="009F2260"/>
        </w:tc>
        <w:tc>
          <w:tcPr>
            <w:tcW w:w="3240" w:type="dxa"/>
          </w:tcPr>
          <w:p w:rsidR="00DD5515" w:rsidRPr="00DB7C1C" w:rsidRDefault="00DD5515" w:rsidP="00A449CC">
            <w:pPr>
              <w:pStyle w:val="Heading1"/>
              <w:ind w:right="45"/>
              <w:jc w:val="right"/>
              <w:rPr>
                <w:rFonts w:ascii="Tahoma" w:hAnsi="Tahoma" w:cs="Tahoma"/>
                <w:sz w:val="28"/>
              </w:rPr>
            </w:pPr>
            <w:r w:rsidRPr="00DB7C1C">
              <w:rPr>
                <w:rFonts w:ascii="Tahoma" w:hAnsi="Tahoma" w:cs="Tahoma"/>
                <w:sz w:val="30"/>
              </w:rPr>
              <w:t>Item</w:t>
            </w:r>
            <w:r>
              <w:rPr>
                <w:rFonts w:ascii="Tahoma" w:hAnsi="Tahoma" w:cs="Tahoma"/>
                <w:sz w:val="30"/>
              </w:rPr>
              <w:t xml:space="preserve"> </w:t>
            </w:r>
            <w:r w:rsidR="00A449CC">
              <w:rPr>
                <w:rFonts w:ascii="Tahoma" w:hAnsi="Tahoma" w:cs="Tahoma"/>
                <w:sz w:val="30"/>
              </w:rPr>
              <w:t>4</w:t>
            </w:r>
          </w:p>
        </w:tc>
      </w:tr>
    </w:tbl>
    <w:p w:rsidR="00DD5515" w:rsidRPr="00DB7C1C" w:rsidRDefault="005E29B3" w:rsidP="00DD5515">
      <w:pPr>
        <w:pStyle w:val="Heading1"/>
        <w:pBdr>
          <w:bottom w:val="single" w:sz="12" w:space="7" w:color="auto"/>
        </w:pBdr>
        <w:ind w:right="45"/>
        <w:rPr>
          <w:rFonts w:ascii="Tahoma" w:hAnsi="Tahoma" w:cs="Tahoma"/>
          <w:b w:val="0"/>
          <w:sz w:val="32"/>
        </w:rPr>
      </w:pPr>
      <w:r>
        <w:rPr>
          <w:rFonts w:ascii="Tahoma" w:hAnsi="Tahoma" w:cs="Tahoma"/>
          <w:b w:val="0"/>
          <w:sz w:val="28"/>
        </w:rPr>
        <w:t>8 DECEMBER</w:t>
      </w:r>
      <w:r w:rsidR="00DD5515">
        <w:rPr>
          <w:rFonts w:ascii="Tahoma" w:hAnsi="Tahoma" w:cs="Tahoma"/>
          <w:b w:val="0"/>
          <w:sz w:val="28"/>
        </w:rPr>
        <w:t xml:space="preserve"> 2017</w:t>
      </w:r>
    </w:p>
    <w:p w:rsidR="00DD5515" w:rsidRDefault="00B076CA" w:rsidP="00DD551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Hywel Dda UHB Transforming Clinical Services Programme: End of Phase 1 Update Report </w:t>
      </w:r>
    </w:p>
    <w:p w:rsidR="00DD5515" w:rsidRPr="00DD5515" w:rsidRDefault="00DD5515" w:rsidP="00DD5515">
      <w:pPr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515" w:rsidTr="009F2260">
        <w:tc>
          <w:tcPr>
            <w:tcW w:w="9016" w:type="dxa"/>
          </w:tcPr>
          <w:p w:rsidR="00DD5515" w:rsidRPr="008909E2" w:rsidRDefault="00DD5515" w:rsidP="009F2260">
            <w:pPr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8909E2">
              <w:rPr>
                <w:rFonts w:ascii="Tahoma" w:hAnsi="Tahoma" w:cs="Tahoma"/>
                <w:b/>
                <w:sz w:val="24"/>
                <w:szCs w:val="24"/>
              </w:rPr>
              <w:t>Recommendations:</w:t>
            </w:r>
          </w:p>
          <w:p w:rsidR="00DD5515" w:rsidRPr="008909E2" w:rsidRDefault="00DD5515" w:rsidP="009F226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DD5515" w:rsidRPr="008909E2" w:rsidRDefault="00DD5515" w:rsidP="009F226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8909E2">
              <w:rPr>
                <w:rFonts w:ascii="Tahoma" w:hAnsi="Tahoma" w:cs="Tahoma"/>
                <w:sz w:val="24"/>
                <w:szCs w:val="24"/>
              </w:rPr>
              <w:t>That the RPB:</w:t>
            </w:r>
          </w:p>
          <w:p w:rsidR="00DD5515" w:rsidRPr="008909E2" w:rsidRDefault="00DD5515" w:rsidP="009F226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A12065" w:rsidRDefault="00A12065" w:rsidP="00A75E86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12065">
              <w:rPr>
                <w:rFonts w:ascii="Tahoma" w:hAnsi="Tahoma" w:cs="Tahoma"/>
                <w:sz w:val="24"/>
                <w:szCs w:val="24"/>
              </w:rPr>
              <w:t xml:space="preserve">Notes </w:t>
            </w:r>
            <w:r w:rsidR="00A75E86">
              <w:rPr>
                <w:rFonts w:ascii="Tahoma" w:hAnsi="Tahoma" w:cs="Tahoma"/>
                <w:sz w:val="24"/>
                <w:szCs w:val="24"/>
              </w:rPr>
              <w:t>the findings of Phase 1 of the Transforming Clinical Services (TCS) Programme and considers implications for the Partnership</w:t>
            </w:r>
          </w:p>
          <w:p w:rsidR="00A75E86" w:rsidRPr="00A12065" w:rsidRDefault="00A75E86" w:rsidP="00A75E86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Notes planned activity in Phase 2 of the Programme</w:t>
            </w:r>
          </w:p>
          <w:p w:rsidR="00A12065" w:rsidRPr="00A12065" w:rsidRDefault="00A12065" w:rsidP="00A12065">
            <w:pPr>
              <w:pStyle w:val="ListParagraph"/>
              <w:ind w:left="360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DD5515" w:rsidRDefault="00DD5515" w:rsidP="00BC347E">
      <w:pPr>
        <w:rPr>
          <w:rFonts w:ascii="Tahoma" w:hAnsi="Tahoma" w:cs="Tahoma"/>
          <w:b/>
          <w:sz w:val="24"/>
          <w:szCs w:val="24"/>
        </w:rPr>
      </w:pPr>
    </w:p>
    <w:p w:rsidR="00BC347E" w:rsidRPr="00BC347E" w:rsidRDefault="00BC347E" w:rsidP="00BC347E">
      <w:pPr>
        <w:rPr>
          <w:rFonts w:ascii="Tahoma" w:hAnsi="Tahoma" w:cs="Tahoma"/>
          <w:b/>
          <w:sz w:val="24"/>
          <w:szCs w:val="24"/>
        </w:rPr>
      </w:pPr>
      <w:r w:rsidRPr="00BC347E">
        <w:rPr>
          <w:rFonts w:ascii="Tahoma" w:hAnsi="Tahoma" w:cs="Tahoma"/>
          <w:b/>
          <w:sz w:val="24"/>
          <w:szCs w:val="24"/>
        </w:rPr>
        <w:t>Background</w:t>
      </w:r>
    </w:p>
    <w:p w:rsidR="00BC347E" w:rsidRDefault="00BC347E" w:rsidP="00BC347E">
      <w:pPr>
        <w:rPr>
          <w:rFonts w:ascii="Tahoma" w:hAnsi="Tahoma" w:cs="Tahoma"/>
          <w:sz w:val="24"/>
          <w:szCs w:val="24"/>
        </w:rPr>
      </w:pPr>
    </w:p>
    <w:p w:rsidR="00B076CA" w:rsidRDefault="00B076CA" w:rsidP="003752CB">
      <w:pPr>
        <w:pStyle w:val="ListParagraph"/>
        <w:numPr>
          <w:ilvl w:val="0"/>
          <w:numId w:val="7"/>
        </w:numPr>
        <w:ind w:left="360"/>
        <w:rPr>
          <w:rFonts w:ascii="Tahoma" w:hAnsi="Tahoma" w:cs="Tahoma"/>
          <w:sz w:val="24"/>
          <w:szCs w:val="24"/>
        </w:rPr>
      </w:pPr>
      <w:r w:rsidRPr="00A75E86">
        <w:rPr>
          <w:rFonts w:ascii="Tahoma" w:hAnsi="Tahoma" w:cs="Tahoma"/>
          <w:sz w:val="24"/>
          <w:szCs w:val="24"/>
        </w:rPr>
        <w:t>The Transforming Clin</w:t>
      </w:r>
      <w:r w:rsidR="00BA1C1E">
        <w:rPr>
          <w:rFonts w:ascii="Tahoma" w:hAnsi="Tahoma" w:cs="Tahoma"/>
          <w:sz w:val="24"/>
          <w:szCs w:val="24"/>
        </w:rPr>
        <w:t>ical Services (TCS) Programme</w:t>
      </w:r>
      <w:r w:rsidRPr="00A75E86">
        <w:rPr>
          <w:rFonts w:ascii="Tahoma" w:hAnsi="Tahoma" w:cs="Tahoma"/>
          <w:sz w:val="24"/>
          <w:szCs w:val="24"/>
        </w:rPr>
        <w:t xml:space="preserve"> has been established by Hywel Dda UHB to drive </w:t>
      </w:r>
      <w:r w:rsidR="00BA1C1E">
        <w:rPr>
          <w:rFonts w:ascii="Tahoma" w:hAnsi="Tahoma" w:cs="Tahoma"/>
          <w:sz w:val="24"/>
          <w:szCs w:val="24"/>
        </w:rPr>
        <w:t xml:space="preserve">the </w:t>
      </w:r>
      <w:r w:rsidRPr="00A75E86">
        <w:rPr>
          <w:rFonts w:ascii="Tahoma" w:hAnsi="Tahoma" w:cs="Tahoma"/>
          <w:sz w:val="24"/>
          <w:szCs w:val="24"/>
        </w:rPr>
        <w:t xml:space="preserve">strategic change and transformation required to make services responsible and sustainable for the future. The RPB received a detailed presentation on TCS and the UHB’s Transforming Mental Health programme in July 2017. </w:t>
      </w:r>
    </w:p>
    <w:p w:rsidR="00A75E86" w:rsidRPr="00A75E86" w:rsidRDefault="00A75E86" w:rsidP="00A75E86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B076CA" w:rsidRPr="00B076CA" w:rsidRDefault="00B076CA" w:rsidP="00B076CA">
      <w:pPr>
        <w:rPr>
          <w:rFonts w:ascii="Tahoma" w:hAnsi="Tahoma" w:cs="Tahoma"/>
          <w:b/>
          <w:sz w:val="24"/>
          <w:szCs w:val="24"/>
        </w:rPr>
      </w:pPr>
      <w:r w:rsidRPr="00B076CA">
        <w:rPr>
          <w:rFonts w:ascii="Tahoma" w:hAnsi="Tahoma" w:cs="Tahoma"/>
          <w:b/>
          <w:sz w:val="24"/>
          <w:szCs w:val="24"/>
        </w:rPr>
        <w:t>Update</w:t>
      </w:r>
    </w:p>
    <w:p w:rsidR="00B076CA" w:rsidRDefault="00B076CA" w:rsidP="00B076CA">
      <w:pPr>
        <w:rPr>
          <w:rFonts w:ascii="Tahoma" w:hAnsi="Tahoma" w:cs="Tahoma"/>
          <w:sz w:val="24"/>
          <w:szCs w:val="24"/>
        </w:rPr>
      </w:pPr>
    </w:p>
    <w:p w:rsidR="00B076CA" w:rsidRPr="00646147" w:rsidRDefault="00B076CA" w:rsidP="00646147">
      <w:pPr>
        <w:pStyle w:val="ListParagraph"/>
        <w:numPr>
          <w:ilvl w:val="0"/>
          <w:numId w:val="7"/>
        </w:numPr>
        <w:ind w:left="426"/>
        <w:rPr>
          <w:rFonts w:ascii="Tahoma" w:hAnsi="Tahoma" w:cs="Tahoma"/>
          <w:sz w:val="24"/>
          <w:szCs w:val="24"/>
        </w:rPr>
      </w:pPr>
      <w:r w:rsidRPr="00646147">
        <w:rPr>
          <w:rFonts w:ascii="Tahoma" w:hAnsi="Tahoma" w:cs="Tahoma"/>
          <w:sz w:val="24"/>
          <w:szCs w:val="24"/>
        </w:rPr>
        <w:t>The initial ‘Discover’ phase 1 of TCS has focused on:</w:t>
      </w:r>
    </w:p>
    <w:p w:rsidR="00B076CA" w:rsidRDefault="00B076CA" w:rsidP="00B076CA">
      <w:pPr>
        <w:rPr>
          <w:rFonts w:ascii="Tahoma" w:hAnsi="Tahoma" w:cs="Tahoma"/>
          <w:sz w:val="24"/>
          <w:szCs w:val="24"/>
        </w:rPr>
      </w:pPr>
    </w:p>
    <w:p w:rsidR="00B076CA" w:rsidRPr="00A75E86" w:rsidRDefault="00B076CA" w:rsidP="00A75E86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A75E86">
        <w:rPr>
          <w:rFonts w:ascii="Tahoma" w:hAnsi="Tahoma" w:cs="Tahoma"/>
          <w:sz w:val="24"/>
          <w:szCs w:val="24"/>
        </w:rPr>
        <w:t>Reviewing what the future holds for the local population and impact of resulting challenges</w:t>
      </w:r>
    </w:p>
    <w:p w:rsidR="00B076CA" w:rsidRPr="00A75E86" w:rsidRDefault="00B076CA" w:rsidP="00A75E86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A75E86">
        <w:rPr>
          <w:rFonts w:ascii="Tahoma" w:hAnsi="Tahoma" w:cs="Tahoma"/>
          <w:sz w:val="24"/>
          <w:szCs w:val="24"/>
        </w:rPr>
        <w:t>Engaging with the people who live in Hywel Dda, staff and partners to understand how health and care services might be improved</w:t>
      </w:r>
    </w:p>
    <w:p w:rsidR="00B076CA" w:rsidRPr="00A75E86" w:rsidRDefault="00B076CA" w:rsidP="00A75E86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A75E86">
        <w:rPr>
          <w:rFonts w:ascii="Tahoma" w:hAnsi="Tahoma" w:cs="Tahoma"/>
          <w:sz w:val="24"/>
          <w:szCs w:val="24"/>
        </w:rPr>
        <w:t>Learning from the experience of other health systems to inform the future shape of services</w:t>
      </w:r>
    </w:p>
    <w:p w:rsidR="00A75E86" w:rsidRDefault="00A75E86" w:rsidP="00B076CA">
      <w:pPr>
        <w:rPr>
          <w:rFonts w:ascii="Tahoma" w:hAnsi="Tahoma" w:cs="Tahoma"/>
          <w:sz w:val="24"/>
          <w:szCs w:val="24"/>
        </w:rPr>
      </w:pPr>
    </w:p>
    <w:p w:rsidR="00B076CA" w:rsidRPr="00646147" w:rsidRDefault="00B076CA" w:rsidP="00646147">
      <w:pPr>
        <w:pStyle w:val="ListParagraph"/>
        <w:numPr>
          <w:ilvl w:val="0"/>
          <w:numId w:val="7"/>
        </w:numPr>
        <w:ind w:left="426"/>
        <w:rPr>
          <w:rFonts w:ascii="Tahoma" w:hAnsi="Tahoma" w:cs="Tahoma"/>
          <w:sz w:val="24"/>
          <w:szCs w:val="24"/>
        </w:rPr>
      </w:pPr>
      <w:r w:rsidRPr="00646147">
        <w:rPr>
          <w:rFonts w:ascii="Tahoma" w:hAnsi="Tahoma" w:cs="Tahoma"/>
          <w:sz w:val="24"/>
          <w:szCs w:val="24"/>
        </w:rPr>
        <w:t>The Phase 1 Output Report was approved by the UHB in November. Phase 2: ‘Design’ commences with immediate effect and will include:</w:t>
      </w:r>
    </w:p>
    <w:p w:rsidR="00B076CA" w:rsidRDefault="00B076CA" w:rsidP="00B076CA">
      <w:pPr>
        <w:rPr>
          <w:rFonts w:ascii="Tahoma" w:hAnsi="Tahoma" w:cs="Tahoma"/>
          <w:sz w:val="24"/>
          <w:szCs w:val="24"/>
        </w:rPr>
      </w:pPr>
    </w:p>
    <w:p w:rsidR="00B076CA" w:rsidRPr="00A75E86" w:rsidRDefault="00B076CA" w:rsidP="00A75E86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A75E86">
        <w:rPr>
          <w:rFonts w:ascii="Tahoma" w:hAnsi="Tahoma" w:cs="Tahoma"/>
          <w:sz w:val="24"/>
          <w:szCs w:val="24"/>
        </w:rPr>
        <w:t>Financial and workforce modelling</w:t>
      </w:r>
    </w:p>
    <w:p w:rsidR="00B076CA" w:rsidRPr="00A75E86" w:rsidRDefault="00B076CA" w:rsidP="00A75E86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A75E86">
        <w:rPr>
          <w:rFonts w:ascii="Tahoma" w:hAnsi="Tahoma" w:cs="Tahoma"/>
          <w:sz w:val="24"/>
          <w:szCs w:val="24"/>
        </w:rPr>
        <w:t>Options development</w:t>
      </w:r>
    </w:p>
    <w:p w:rsidR="00B076CA" w:rsidRPr="00A75E86" w:rsidRDefault="00B076CA" w:rsidP="00A75E86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A75E86">
        <w:rPr>
          <w:rFonts w:ascii="Tahoma" w:hAnsi="Tahoma" w:cs="Tahoma"/>
          <w:sz w:val="24"/>
          <w:szCs w:val="24"/>
        </w:rPr>
        <w:t>Options testing</w:t>
      </w:r>
    </w:p>
    <w:p w:rsidR="00B076CA" w:rsidRPr="00A75E86" w:rsidRDefault="00B076CA" w:rsidP="00A75E86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A75E86">
        <w:rPr>
          <w:rFonts w:ascii="Tahoma" w:hAnsi="Tahoma" w:cs="Tahoma"/>
          <w:sz w:val="24"/>
          <w:szCs w:val="24"/>
        </w:rPr>
        <w:t>Formal consultation</w:t>
      </w:r>
    </w:p>
    <w:p w:rsidR="00B076CA" w:rsidRPr="00A75E86" w:rsidRDefault="00B076CA" w:rsidP="00A75E86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A75E86">
        <w:rPr>
          <w:rFonts w:ascii="Tahoma" w:hAnsi="Tahoma" w:cs="Tahoma"/>
          <w:sz w:val="24"/>
          <w:szCs w:val="24"/>
        </w:rPr>
        <w:t>Development of Transformation Delivery Plan, for approval by the UHB in July 2018</w:t>
      </w:r>
    </w:p>
    <w:p w:rsidR="00B076CA" w:rsidRDefault="00B076CA" w:rsidP="00B076CA">
      <w:pPr>
        <w:rPr>
          <w:rFonts w:ascii="Tahoma" w:hAnsi="Tahoma" w:cs="Tahoma"/>
          <w:sz w:val="24"/>
          <w:szCs w:val="24"/>
        </w:rPr>
      </w:pPr>
    </w:p>
    <w:p w:rsidR="00A75E86" w:rsidRPr="00646147" w:rsidRDefault="00A75E86" w:rsidP="00646147">
      <w:pPr>
        <w:pStyle w:val="ListParagraph"/>
        <w:numPr>
          <w:ilvl w:val="0"/>
          <w:numId w:val="7"/>
        </w:numPr>
        <w:ind w:left="426" w:hanging="426"/>
        <w:rPr>
          <w:rFonts w:ascii="Tahoma" w:hAnsi="Tahoma" w:cs="Tahoma"/>
          <w:sz w:val="24"/>
          <w:szCs w:val="24"/>
        </w:rPr>
      </w:pPr>
      <w:r w:rsidRPr="00646147">
        <w:rPr>
          <w:rFonts w:ascii="Tahoma" w:hAnsi="Tahoma" w:cs="Tahoma"/>
          <w:sz w:val="24"/>
          <w:szCs w:val="24"/>
        </w:rPr>
        <w:lastRenderedPageBreak/>
        <w:t xml:space="preserve">Partnership working – in particular with the three local authorities and regional and national partners – is identified as a key enabler for the </w:t>
      </w:r>
      <w:r w:rsidR="00BA1C1E">
        <w:rPr>
          <w:rFonts w:ascii="Tahoma" w:hAnsi="Tahoma" w:cs="Tahoma"/>
          <w:sz w:val="24"/>
          <w:szCs w:val="24"/>
        </w:rPr>
        <w:t>D</w:t>
      </w:r>
      <w:bookmarkStart w:id="0" w:name="_GoBack"/>
      <w:bookmarkEnd w:id="0"/>
      <w:r w:rsidRPr="00646147">
        <w:rPr>
          <w:rFonts w:ascii="Tahoma" w:hAnsi="Tahoma" w:cs="Tahoma"/>
          <w:sz w:val="24"/>
          <w:szCs w:val="24"/>
        </w:rPr>
        <w:t>esign phase. Mechanisms are in place to ensure alignment between the forthcoming Area Plan and models emerging from TCS.</w:t>
      </w:r>
    </w:p>
    <w:p w:rsidR="00A75E86" w:rsidRDefault="00A75E86" w:rsidP="00A75E86">
      <w:pPr>
        <w:rPr>
          <w:rFonts w:ascii="Tahoma" w:hAnsi="Tahoma" w:cs="Tahoma"/>
          <w:sz w:val="24"/>
          <w:szCs w:val="24"/>
        </w:rPr>
      </w:pPr>
    </w:p>
    <w:p w:rsidR="00A75E86" w:rsidRPr="00646147" w:rsidRDefault="00A75E86" w:rsidP="00646147">
      <w:pPr>
        <w:pStyle w:val="ListParagraph"/>
        <w:numPr>
          <w:ilvl w:val="0"/>
          <w:numId w:val="7"/>
        </w:numPr>
        <w:ind w:left="426"/>
        <w:rPr>
          <w:rFonts w:ascii="Tahoma" w:hAnsi="Tahoma" w:cs="Tahoma"/>
          <w:sz w:val="24"/>
          <w:szCs w:val="24"/>
        </w:rPr>
      </w:pPr>
      <w:r w:rsidRPr="00646147">
        <w:rPr>
          <w:rFonts w:ascii="Tahoma" w:hAnsi="Tahoma" w:cs="Tahoma"/>
          <w:sz w:val="24"/>
          <w:szCs w:val="24"/>
        </w:rPr>
        <w:t>An Executive Summary of the Phase 1 Output Report is attached as Appendix 1.</w:t>
      </w:r>
    </w:p>
    <w:p w:rsidR="00B076CA" w:rsidRPr="00B076CA" w:rsidRDefault="00B076CA" w:rsidP="00B076CA">
      <w:pPr>
        <w:rPr>
          <w:rFonts w:ascii="Tahoma" w:hAnsi="Tahoma" w:cs="Tahoma"/>
          <w:sz w:val="24"/>
          <w:szCs w:val="24"/>
        </w:rPr>
      </w:pPr>
    </w:p>
    <w:p w:rsidR="004D60F3" w:rsidRDefault="004D60F3" w:rsidP="004D60F3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sectPr w:rsidR="004D60F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A51" w:rsidRDefault="002F5A51" w:rsidP="002F5A51">
      <w:r>
        <w:separator/>
      </w:r>
    </w:p>
  </w:endnote>
  <w:endnote w:type="continuationSeparator" w:id="0">
    <w:p w:rsidR="002F5A51" w:rsidRDefault="002F5A51" w:rsidP="002F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643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A51" w:rsidRDefault="002F5A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C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A51" w:rsidRDefault="002F5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A51" w:rsidRDefault="002F5A51" w:rsidP="002F5A51">
      <w:r>
        <w:separator/>
      </w:r>
    </w:p>
  </w:footnote>
  <w:footnote w:type="continuationSeparator" w:id="0">
    <w:p w:rsidR="002F5A51" w:rsidRDefault="002F5A51" w:rsidP="002F5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41BB"/>
    <w:multiLevelType w:val="hybridMultilevel"/>
    <w:tmpl w:val="E5CEC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07D34"/>
    <w:multiLevelType w:val="hybridMultilevel"/>
    <w:tmpl w:val="F8382F12"/>
    <w:lvl w:ilvl="0" w:tplc="A96AF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67A22"/>
    <w:multiLevelType w:val="hybridMultilevel"/>
    <w:tmpl w:val="9368978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745144"/>
    <w:multiLevelType w:val="hybridMultilevel"/>
    <w:tmpl w:val="D49CF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04D79"/>
    <w:multiLevelType w:val="hybridMultilevel"/>
    <w:tmpl w:val="80D28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C3A42"/>
    <w:multiLevelType w:val="hybridMultilevel"/>
    <w:tmpl w:val="5A307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010F"/>
    <w:multiLevelType w:val="hybridMultilevel"/>
    <w:tmpl w:val="98E0338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61733BD"/>
    <w:multiLevelType w:val="hybridMultilevel"/>
    <w:tmpl w:val="28189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981541"/>
    <w:multiLevelType w:val="hybridMultilevel"/>
    <w:tmpl w:val="435EC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22846"/>
    <w:multiLevelType w:val="hybridMultilevel"/>
    <w:tmpl w:val="9BDE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A5F3C"/>
    <w:multiLevelType w:val="hybridMultilevel"/>
    <w:tmpl w:val="BCEC330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A8B25BC"/>
    <w:multiLevelType w:val="hybridMultilevel"/>
    <w:tmpl w:val="9F4468A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7037BFF"/>
    <w:multiLevelType w:val="hybridMultilevel"/>
    <w:tmpl w:val="E6B09A72"/>
    <w:lvl w:ilvl="0" w:tplc="A96AF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531B8"/>
    <w:multiLevelType w:val="hybridMultilevel"/>
    <w:tmpl w:val="4386CC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401FE6"/>
    <w:multiLevelType w:val="hybridMultilevel"/>
    <w:tmpl w:val="0290A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00F8C"/>
    <w:multiLevelType w:val="hybridMultilevel"/>
    <w:tmpl w:val="4D40E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F06D6"/>
    <w:multiLevelType w:val="hybridMultilevel"/>
    <w:tmpl w:val="F1783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C0579"/>
    <w:multiLevelType w:val="hybridMultilevel"/>
    <w:tmpl w:val="409066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A71A48"/>
    <w:multiLevelType w:val="hybridMultilevel"/>
    <w:tmpl w:val="BED6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C4F30"/>
    <w:multiLevelType w:val="hybridMultilevel"/>
    <w:tmpl w:val="20CC98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F36C3A"/>
    <w:multiLevelType w:val="hybridMultilevel"/>
    <w:tmpl w:val="74FC6634"/>
    <w:lvl w:ilvl="0" w:tplc="3DBA8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3304F9"/>
    <w:multiLevelType w:val="hybridMultilevel"/>
    <w:tmpl w:val="E7961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0741F"/>
    <w:multiLevelType w:val="hybridMultilevel"/>
    <w:tmpl w:val="4EB4D3B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D6E6205"/>
    <w:multiLevelType w:val="hybridMultilevel"/>
    <w:tmpl w:val="53127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E6178"/>
    <w:multiLevelType w:val="hybridMultilevel"/>
    <w:tmpl w:val="F7F65F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1"/>
  </w:num>
  <w:num w:numId="3">
    <w:abstractNumId w:val="0"/>
  </w:num>
  <w:num w:numId="4">
    <w:abstractNumId w:val="0"/>
  </w:num>
  <w:num w:numId="5">
    <w:abstractNumId w:val="8"/>
  </w:num>
  <w:num w:numId="6">
    <w:abstractNumId w:val="13"/>
  </w:num>
  <w:num w:numId="7">
    <w:abstractNumId w:val="14"/>
  </w:num>
  <w:num w:numId="8">
    <w:abstractNumId w:val="15"/>
  </w:num>
  <w:num w:numId="9">
    <w:abstractNumId w:val="7"/>
  </w:num>
  <w:num w:numId="10">
    <w:abstractNumId w:val="6"/>
  </w:num>
  <w:num w:numId="11">
    <w:abstractNumId w:val="19"/>
  </w:num>
  <w:num w:numId="12">
    <w:abstractNumId w:val="16"/>
  </w:num>
  <w:num w:numId="13">
    <w:abstractNumId w:val="18"/>
  </w:num>
  <w:num w:numId="14">
    <w:abstractNumId w:val="24"/>
  </w:num>
  <w:num w:numId="15">
    <w:abstractNumId w:val="5"/>
  </w:num>
  <w:num w:numId="16">
    <w:abstractNumId w:val="2"/>
  </w:num>
  <w:num w:numId="17">
    <w:abstractNumId w:val="23"/>
  </w:num>
  <w:num w:numId="18">
    <w:abstractNumId w:val="20"/>
  </w:num>
  <w:num w:numId="19">
    <w:abstractNumId w:val="10"/>
  </w:num>
  <w:num w:numId="20">
    <w:abstractNumId w:val="4"/>
  </w:num>
  <w:num w:numId="21">
    <w:abstractNumId w:val="9"/>
  </w:num>
  <w:num w:numId="22">
    <w:abstractNumId w:val="12"/>
  </w:num>
  <w:num w:numId="23">
    <w:abstractNumId w:val="17"/>
  </w:num>
  <w:num w:numId="24">
    <w:abstractNumId w:val="1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7E"/>
    <w:rsid w:val="000413C9"/>
    <w:rsid w:val="00043C63"/>
    <w:rsid w:val="00060CB4"/>
    <w:rsid w:val="000C754B"/>
    <w:rsid w:val="001E5EE3"/>
    <w:rsid w:val="00256C77"/>
    <w:rsid w:val="00286FF8"/>
    <w:rsid w:val="002F5A51"/>
    <w:rsid w:val="003447F3"/>
    <w:rsid w:val="00412E28"/>
    <w:rsid w:val="004D3A93"/>
    <w:rsid w:val="004D60F3"/>
    <w:rsid w:val="00511BE1"/>
    <w:rsid w:val="00513EB7"/>
    <w:rsid w:val="005179D6"/>
    <w:rsid w:val="00534662"/>
    <w:rsid w:val="005C2B74"/>
    <w:rsid w:val="005C6D38"/>
    <w:rsid w:val="005E29B3"/>
    <w:rsid w:val="00646147"/>
    <w:rsid w:val="00721A87"/>
    <w:rsid w:val="00746260"/>
    <w:rsid w:val="00765850"/>
    <w:rsid w:val="0085393E"/>
    <w:rsid w:val="008909E2"/>
    <w:rsid w:val="009651DE"/>
    <w:rsid w:val="009E0B03"/>
    <w:rsid w:val="00A12065"/>
    <w:rsid w:val="00A449CC"/>
    <w:rsid w:val="00A70FB1"/>
    <w:rsid w:val="00A75E86"/>
    <w:rsid w:val="00B076CA"/>
    <w:rsid w:val="00B70F7C"/>
    <w:rsid w:val="00BA1C1E"/>
    <w:rsid w:val="00BC347E"/>
    <w:rsid w:val="00DD5515"/>
    <w:rsid w:val="00DE1CF1"/>
    <w:rsid w:val="00E31686"/>
    <w:rsid w:val="00EC7601"/>
    <w:rsid w:val="00FC0906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7CD4D-0ACD-442E-B573-8418963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7E"/>
    <w:pPr>
      <w:spacing w:after="0"/>
    </w:pPr>
    <w:rPr>
      <w:rFonts w:asciiTheme="minorHAnsi" w:eastAsia="Times New Roman" w:hAnsiTheme="minorHAns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F5A51"/>
    <w:pPr>
      <w:keepNext/>
      <w:jc w:val="both"/>
      <w:outlineLvl w:val="0"/>
    </w:pPr>
    <w:rPr>
      <w:rFonts w:ascii="Arial" w:hAnsi="Arial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47E"/>
    <w:rPr>
      <w:rFonts w:ascii="Times New Roman" w:hAnsi="Times New Roman" w:cs="Times New Roman" w:hint="default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47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F5A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A51"/>
    <w:rPr>
      <w:rFonts w:asciiTheme="minorHAnsi" w:eastAsia="Times New Roman" w:hAnsiTheme="minorHAns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5A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A51"/>
    <w:rPr>
      <w:rFonts w:asciiTheme="minorHAnsi" w:eastAsia="Times New Roman" w:hAnsiTheme="minorHAns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F5A51"/>
    <w:rPr>
      <w:rFonts w:ascii="Arial" w:eastAsia="Times New Roman" w:hAnsi="Arial" w:cs="Times New Roman"/>
      <w:b/>
      <w:sz w:val="2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0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D55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J Palfreman</dc:creator>
  <cp:keywords/>
  <dc:description/>
  <cp:lastModifiedBy>Martyn J Palfreman</cp:lastModifiedBy>
  <cp:revision>4</cp:revision>
  <cp:lastPrinted>2017-11-29T11:12:00Z</cp:lastPrinted>
  <dcterms:created xsi:type="dcterms:W3CDTF">2017-11-29T16:30:00Z</dcterms:created>
  <dcterms:modified xsi:type="dcterms:W3CDTF">2017-11-30T21:47:00Z</dcterms:modified>
</cp:coreProperties>
</file>