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25" w:rsidRDefault="0017632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4391025</wp:posOffset>
                </wp:positionH>
                <wp:positionV relativeFrom="paragraph">
                  <wp:posOffset>-590550</wp:posOffset>
                </wp:positionV>
                <wp:extent cx="1647825" cy="7239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652B" w:rsidRPr="00094804" w:rsidRDefault="00094804">
                            <w:pPr>
                              <w:rPr>
                                <w:rFonts w:ascii="Tahoma" w:hAnsi="Tahoma" w:cs="Tahoma"/>
                                <w:b/>
                                <w:sz w:val="32"/>
                                <w:szCs w:val="32"/>
                              </w:rPr>
                            </w:pPr>
                            <w:r w:rsidRPr="00094804">
                              <w:rPr>
                                <w:rFonts w:ascii="Tahoma" w:hAnsi="Tahoma" w:cs="Tahoma"/>
                                <w:b/>
                                <w:noProof/>
                                <w:sz w:val="32"/>
                                <w:szCs w:val="32"/>
                                <w:lang w:eastAsia="en-GB"/>
                              </w:rPr>
                              <w:t>Item 8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75pt;margin-top:-46.5pt;width:129.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" fillcolor="white [3201]" stroked="f" strokeweight=".5pt">
                <v:path arrowok="t"/>
                <v:textbox>
                  <w:txbxContent>
                    <w:p w:rsidR="005A652B" w:rsidRPr="00094804" w:rsidRDefault="00094804">
                      <w:pPr>
                        <w:rPr>
                          <w:rFonts w:ascii="Tahoma" w:hAnsi="Tahoma" w:cs="Tahoma"/>
                          <w:b/>
                          <w:sz w:val="32"/>
                          <w:szCs w:val="32"/>
                        </w:rPr>
                      </w:pPr>
                      <w:r w:rsidRPr="00094804">
                        <w:rPr>
                          <w:rFonts w:ascii="Tahoma" w:hAnsi="Tahoma" w:cs="Tahoma"/>
                          <w:b/>
                          <w:noProof/>
                          <w:sz w:val="32"/>
                          <w:szCs w:val="32"/>
                          <w:lang w:eastAsia="en-GB"/>
                        </w:rPr>
                        <w:t>Item 8 (2)</w:t>
                      </w:r>
                    </w:p>
                  </w:txbxContent>
                </v:textbox>
              </v:shape>
            </w:pict>
          </mc:Fallback>
        </mc:AlternateContent>
      </w:r>
      <w:r w:rsidR="00FF1625" w:rsidRPr="00CC4A20">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margin">
              <wp:posOffset>-28575</wp:posOffset>
            </wp:positionV>
            <wp:extent cx="2362200" cy="971550"/>
            <wp:effectExtent l="0" t="0" r="0" b="0"/>
            <wp:wrapSquare wrapText="bothSides"/>
            <wp:docPr id="3" name="Picture 1" descr="cid:image002.jpg@01D28181.7F306CD0"/>
            <wp:cNvGraphicFramePr/>
            <a:graphic xmlns:a="http://schemas.openxmlformats.org/drawingml/2006/main">
              <a:graphicData uri="http://schemas.openxmlformats.org/drawingml/2006/picture">
                <pic:pic xmlns:pic="http://schemas.openxmlformats.org/drawingml/2006/picture">
                  <pic:nvPicPr>
                    <pic:cNvPr id="0" name="Picture 1" descr="cid:image002.jpg@01D28181.7F306CD0"/>
                    <pic:cNvPicPr>
                      <a:picLocks noChangeAspect="1" noChangeArrowheads="1"/>
                    </pic:cNvPicPr>
                  </pic:nvPicPr>
                  <pic:blipFill>
                    <a:blip r:embed="rId5" cstate="print"/>
                    <a:srcRect/>
                    <a:stretch>
                      <a:fillRect/>
                    </a:stretch>
                  </pic:blipFill>
                  <pic:spPr bwMode="auto">
                    <a:xfrm>
                      <a:off x="0" y="0"/>
                      <a:ext cx="2362200" cy="971550"/>
                    </a:xfrm>
                    <a:prstGeom prst="rect">
                      <a:avLst/>
                    </a:prstGeom>
                    <a:noFill/>
                    <a:ln w="9525">
                      <a:noFill/>
                      <a:miter lim="800000"/>
                      <a:headEnd/>
                      <a:tailEnd/>
                    </a:ln>
                  </pic:spPr>
                </pic:pic>
              </a:graphicData>
            </a:graphic>
          </wp:anchor>
        </w:drawing>
      </w:r>
    </w:p>
    <w:p w:rsidR="00FF1625" w:rsidRPr="00FF1625" w:rsidRDefault="00FF1625" w:rsidP="00FF1625"/>
    <w:p w:rsidR="00FF1625" w:rsidRPr="00FF1625" w:rsidRDefault="00FF1625" w:rsidP="00FF1625"/>
    <w:p w:rsidR="00FF1625" w:rsidRDefault="00FF1625" w:rsidP="00FF1625"/>
    <w:p w:rsidR="00FF1625" w:rsidRPr="00900CE7" w:rsidRDefault="00FF1625" w:rsidP="00FF1625">
      <w:pPr>
        <w:spacing w:before="240" w:after="120"/>
        <w:jc w:val="center"/>
        <w:rPr>
          <w:rFonts w:ascii="Tahoma" w:hAnsi="Tahoma" w:cs="Tahoma"/>
          <w:b/>
          <w:bCs/>
          <w:color w:val="000000" w:themeColor="text1"/>
          <w:kern w:val="32"/>
          <w:sz w:val="28"/>
          <w:szCs w:val="28"/>
        </w:rPr>
      </w:pPr>
      <w:r>
        <w:tab/>
      </w:r>
      <w:r w:rsidR="00C012AB">
        <w:rPr>
          <w:rFonts w:ascii="Tahoma" w:hAnsi="Tahoma" w:cs="Tahoma"/>
          <w:b/>
          <w:bCs/>
          <w:color w:val="000000" w:themeColor="text1"/>
          <w:kern w:val="32"/>
          <w:sz w:val="28"/>
          <w:szCs w:val="28"/>
        </w:rPr>
        <w:t xml:space="preserve"> </w:t>
      </w:r>
    </w:p>
    <w:p w:rsidR="00FF1625" w:rsidRPr="00524893" w:rsidRDefault="00094804" w:rsidP="00FF1625">
      <w:pPr>
        <w:tabs>
          <w:tab w:val="left" w:pos="2280"/>
        </w:tabs>
        <w:jc w:val="center"/>
        <w:rPr>
          <w:rFonts w:ascii="Tahoma" w:hAnsi="Tahoma" w:cs="Tahoma"/>
          <w:b/>
          <w:sz w:val="28"/>
          <w:szCs w:val="28"/>
        </w:rPr>
      </w:pPr>
      <w:r>
        <w:rPr>
          <w:rFonts w:ascii="Tahoma" w:hAnsi="Tahoma" w:cs="Tahoma"/>
          <w:b/>
          <w:bCs/>
          <w:color w:val="000000" w:themeColor="text1"/>
          <w:kern w:val="32"/>
          <w:sz w:val="28"/>
          <w:szCs w:val="28"/>
        </w:rPr>
        <w:t>Exception Report:</w:t>
      </w:r>
      <w:r>
        <w:rPr>
          <w:rFonts w:ascii="Tahoma" w:hAnsi="Tahoma" w:cs="Tahoma"/>
          <w:b/>
          <w:bCs/>
          <w:color w:val="000000" w:themeColor="text1"/>
          <w:kern w:val="32"/>
          <w:sz w:val="28"/>
          <w:szCs w:val="28"/>
        </w:rPr>
        <w:t xml:space="preserve"> </w:t>
      </w:r>
      <w:r>
        <w:rPr>
          <w:rFonts w:ascii="Tahoma" w:hAnsi="Tahoma" w:cs="Tahoma"/>
          <w:b/>
          <w:bCs/>
          <w:color w:val="000000" w:themeColor="text1"/>
          <w:kern w:val="32"/>
          <w:sz w:val="28"/>
          <w:szCs w:val="28"/>
        </w:rPr>
        <w:t>Transforming Mental Health</w:t>
      </w:r>
      <w:bookmarkStart w:id="0" w:name="_GoBack"/>
      <w:bookmarkEnd w:id="0"/>
    </w:p>
    <w:tbl>
      <w:tblPr>
        <w:tblStyle w:val="TableGrid"/>
        <w:tblW w:w="10206" w:type="dxa"/>
        <w:tblInd w:w="-572" w:type="dxa"/>
        <w:tblLook w:val="04A0" w:firstRow="1" w:lastRow="0" w:firstColumn="1" w:lastColumn="0" w:noHBand="0" w:noVBand="1"/>
      </w:tblPr>
      <w:tblGrid>
        <w:gridCol w:w="1921"/>
        <w:gridCol w:w="9010"/>
      </w:tblGrid>
      <w:tr w:rsidR="00F97460" w:rsidRPr="00DE331C" w:rsidTr="00C928A8">
        <w:tc>
          <w:tcPr>
            <w:tcW w:w="2977" w:type="dxa"/>
            <w:shd w:val="clear" w:color="auto" w:fill="DEEAF6" w:themeFill="accent1" w:themeFillTint="33"/>
          </w:tcPr>
          <w:p w:rsidR="00F97460" w:rsidRPr="00DE331C" w:rsidRDefault="00F97460" w:rsidP="00524893">
            <w:pPr>
              <w:tabs>
                <w:tab w:val="left" w:pos="2280"/>
              </w:tabs>
              <w:rPr>
                <w:rFonts w:ascii="Tahoma" w:hAnsi="Tahoma" w:cs="Tahoma"/>
              </w:rPr>
            </w:pPr>
            <w:r w:rsidRPr="00DE331C">
              <w:rPr>
                <w:rFonts w:ascii="Tahoma" w:hAnsi="Tahoma" w:cs="Tahoma"/>
              </w:rPr>
              <w:t xml:space="preserve">Summary of the Programme </w:t>
            </w:r>
          </w:p>
        </w:tc>
        <w:tc>
          <w:tcPr>
            <w:tcW w:w="7229" w:type="dxa"/>
          </w:tcPr>
          <w:p w:rsidR="00DC4E45" w:rsidRDefault="00DC4E45" w:rsidP="00DC4E45">
            <w:pPr>
              <w:rPr>
                <w:rFonts w:ascii="Arial" w:hAnsi="Arial" w:cs="Arial"/>
                <w:color w:val="000000"/>
                <w:szCs w:val="24"/>
              </w:rPr>
            </w:pPr>
            <w:r w:rsidRPr="00DF392B">
              <w:rPr>
                <w:rFonts w:ascii="Arial" w:hAnsi="Arial" w:cs="Arial"/>
                <w:color w:val="000000"/>
                <w:szCs w:val="24"/>
              </w:rPr>
              <w:t>The</w:t>
            </w:r>
            <w:r>
              <w:rPr>
                <w:rFonts w:ascii="Arial" w:hAnsi="Arial" w:cs="Arial"/>
                <w:color w:val="000000"/>
                <w:szCs w:val="24"/>
              </w:rPr>
              <w:t xml:space="preserve"> Transforming Mental Health c</w:t>
            </w:r>
            <w:r w:rsidRPr="00DF392B">
              <w:rPr>
                <w:rFonts w:ascii="Arial" w:hAnsi="Arial" w:cs="Arial"/>
                <w:color w:val="000000"/>
                <w:szCs w:val="24"/>
              </w:rPr>
              <w:t>onsultation</w:t>
            </w:r>
            <w:r>
              <w:rPr>
                <w:rFonts w:ascii="Arial" w:hAnsi="Arial" w:cs="Arial"/>
                <w:color w:val="000000"/>
                <w:szCs w:val="24"/>
              </w:rPr>
              <w:t xml:space="preserve"> closed on the 15</w:t>
            </w:r>
            <w:r w:rsidRPr="00DF392B">
              <w:rPr>
                <w:rFonts w:ascii="Arial" w:hAnsi="Arial" w:cs="Arial"/>
                <w:color w:val="000000"/>
                <w:szCs w:val="24"/>
                <w:vertAlign w:val="superscript"/>
              </w:rPr>
              <w:t>th</w:t>
            </w:r>
            <w:r>
              <w:rPr>
                <w:rFonts w:ascii="Arial" w:hAnsi="Arial" w:cs="Arial"/>
                <w:color w:val="000000"/>
                <w:szCs w:val="24"/>
              </w:rPr>
              <w:t xml:space="preserve"> of September. A closing point review was held the week prior to this with the Consultation Institute, in order to ensure the consultation had implemented the recommendations from the mid-point review and was on track for best practice for the consultation process. Two areas were identified as needing additional work, these were</w:t>
            </w:r>
          </w:p>
          <w:p w:rsidR="00DC4E45" w:rsidRPr="009367E7" w:rsidRDefault="00DC4E45" w:rsidP="00DC4E45">
            <w:pPr>
              <w:rPr>
                <w:rFonts w:ascii="Arial" w:hAnsi="Arial" w:cs="Arial"/>
                <w:color w:val="000000"/>
                <w:sz w:val="16"/>
                <w:szCs w:val="16"/>
              </w:rPr>
            </w:pPr>
          </w:p>
          <w:p w:rsidR="00DC4E45" w:rsidRPr="009367E7" w:rsidRDefault="00DC4E45" w:rsidP="00DC4E45">
            <w:pPr>
              <w:pStyle w:val="ListParagraph"/>
              <w:numPr>
                <w:ilvl w:val="0"/>
                <w:numId w:val="5"/>
              </w:numPr>
              <w:contextualSpacing w:val="0"/>
              <w:rPr>
                <w:rFonts w:ascii="Arial" w:hAnsi="Arial" w:cs="Arial"/>
                <w:color w:val="000000"/>
              </w:rPr>
            </w:pPr>
            <w:r w:rsidRPr="009367E7">
              <w:rPr>
                <w:rFonts w:ascii="Arial" w:hAnsi="Arial" w:cs="Arial"/>
                <w:i/>
                <w:color w:val="000000"/>
              </w:rPr>
              <w:t>Equalities:</w:t>
            </w:r>
            <w:r w:rsidRPr="009367E7">
              <w:rPr>
                <w:rFonts w:ascii="Arial" w:hAnsi="Arial" w:cs="Arial"/>
                <w:color w:val="000000"/>
              </w:rPr>
              <w:t xml:space="preserve"> To ensure we had engaged and consulted a fully as possible with all of the protected characteristic groups </w:t>
            </w:r>
          </w:p>
          <w:p w:rsidR="00DC4E45" w:rsidRPr="009367E7" w:rsidRDefault="00DC4E45" w:rsidP="00DC4E45">
            <w:pPr>
              <w:pStyle w:val="ListParagraph"/>
              <w:numPr>
                <w:ilvl w:val="0"/>
                <w:numId w:val="5"/>
              </w:numPr>
              <w:contextualSpacing w:val="0"/>
              <w:rPr>
                <w:rFonts w:ascii="Arial" w:hAnsi="Arial" w:cs="Arial"/>
                <w:color w:val="000000"/>
              </w:rPr>
            </w:pPr>
            <w:r w:rsidRPr="009367E7">
              <w:rPr>
                <w:rFonts w:ascii="Arial" w:hAnsi="Arial" w:cs="Arial"/>
                <w:i/>
                <w:color w:val="000000"/>
              </w:rPr>
              <w:t>Supporting Information:</w:t>
            </w:r>
            <w:r w:rsidRPr="009367E7">
              <w:rPr>
                <w:rFonts w:ascii="Arial" w:hAnsi="Arial" w:cs="Arial"/>
                <w:color w:val="000000"/>
              </w:rPr>
              <w:t xml:space="preserve"> To ensure our technical documentation had reflected the queries coming up through the consultation events.</w:t>
            </w:r>
          </w:p>
          <w:p w:rsidR="00DC4E45" w:rsidRDefault="00DC4E45" w:rsidP="00DC4E45">
            <w:pPr>
              <w:rPr>
                <w:rFonts w:ascii="Arial" w:hAnsi="Arial" w:cs="Arial"/>
                <w:color w:val="000000"/>
                <w:szCs w:val="24"/>
              </w:rPr>
            </w:pPr>
            <w:r>
              <w:rPr>
                <w:rFonts w:ascii="Arial" w:hAnsi="Arial" w:cs="Arial"/>
                <w:color w:val="000000"/>
                <w:szCs w:val="24"/>
              </w:rPr>
              <w:t>Both these issues have now been addressed and we are awaiting confirmation from the Consultation Institute on best practice regarding the management of the consultation process.</w:t>
            </w:r>
          </w:p>
          <w:p w:rsidR="00F97460" w:rsidRDefault="00F97460" w:rsidP="00DC4E45">
            <w:pPr>
              <w:rPr>
                <w:rFonts w:ascii="Arial" w:hAnsi="Arial" w:cs="Arial"/>
                <w:color w:val="000000"/>
                <w:szCs w:val="24"/>
              </w:rPr>
            </w:pPr>
          </w:p>
          <w:p w:rsidR="00DC4E45" w:rsidRDefault="00DC4E45" w:rsidP="00DC4E45">
            <w:pPr>
              <w:rPr>
                <w:rFonts w:ascii="Arial" w:hAnsi="Arial" w:cs="Arial"/>
                <w:color w:val="000000"/>
                <w:szCs w:val="24"/>
              </w:rPr>
            </w:pPr>
            <w:r>
              <w:rPr>
                <w:rFonts w:ascii="Arial" w:hAnsi="Arial" w:cs="Arial"/>
                <w:color w:val="000000"/>
                <w:szCs w:val="24"/>
              </w:rPr>
              <w:t>It is planned that the programme team will present the findings of the consultation to Board on the</w:t>
            </w:r>
            <w:r w:rsidR="0003729D">
              <w:rPr>
                <w:rFonts w:ascii="Arial" w:hAnsi="Arial" w:cs="Arial"/>
                <w:color w:val="000000"/>
                <w:szCs w:val="24"/>
              </w:rPr>
              <w:t>25th of January</w:t>
            </w:r>
            <w:r>
              <w:rPr>
                <w:rFonts w:ascii="Arial" w:hAnsi="Arial" w:cs="Arial"/>
                <w:color w:val="000000"/>
                <w:szCs w:val="24"/>
              </w:rPr>
              <w:t>. In order to achieve this a number of key steps will need to be undertaken, inclusive of analysis of consultation data, consultation outcomes to be shared at key meetings and the development of a comprehensive closing report and implementation plan.</w:t>
            </w:r>
          </w:p>
          <w:p w:rsidR="00DC4E45" w:rsidRDefault="00DC4E45" w:rsidP="00DC4E45">
            <w:pPr>
              <w:rPr>
                <w:rFonts w:ascii="Arial" w:hAnsi="Arial" w:cs="Arial"/>
                <w:color w:val="000000"/>
                <w:szCs w:val="24"/>
              </w:rPr>
            </w:pPr>
          </w:p>
          <w:p w:rsidR="00DC4E45" w:rsidRDefault="00DC4E45" w:rsidP="00DC4E45">
            <w:pPr>
              <w:rPr>
                <w:rFonts w:ascii="Arial" w:hAnsi="Arial" w:cs="Arial"/>
                <w:color w:val="000000"/>
                <w:szCs w:val="24"/>
              </w:rPr>
            </w:pPr>
            <w:r>
              <w:rPr>
                <w:rFonts w:ascii="Arial" w:hAnsi="Arial" w:cs="Arial"/>
                <w:color w:val="000000"/>
                <w:szCs w:val="24"/>
              </w:rPr>
              <w:t xml:space="preserve">The Mental Health Implementation Group (MHIG) are currently in the process of agreeing the programme structure for the implementation stage. The Terms of Reference are being redrafted and membership is for both the MHIG and the associated </w:t>
            </w:r>
            <w:proofErr w:type="spellStart"/>
            <w:r>
              <w:rPr>
                <w:rFonts w:ascii="Arial" w:hAnsi="Arial" w:cs="Arial"/>
                <w:color w:val="000000"/>
                <w:szCs w:val="24"/>
              </w:rPr>
              <w:t>workstreams</w:t>
            </w:r>
            <w:proofErr w:type="spellEnd"/>
            <w:r>
              <w:rPr>
                <w:rFonts w:ascii="Arial" w:hAnsi="Arial" w:cs="Arial"/>
                <w:color w:val="000000"/>
                <w:szCs w:val="24"/>
              </w:rPr>
              <w:t xml:space="preserve"> is being reviewed, in order that it reflects the process of implementation going forward.</w:t>
            </w:r>
          </w:p>
          <w:p w:rsidR="00DC4E45" w:rsidRPr="00DE331C" w:rsidRDefault="00DC4E45" w:rsidP="00DC4E45">
            <w:pPr>
              <w:rPr>
                <w:rFonts w:ascii="Tahoma" w:hAnsi="Tahoma" w:cs="Tahoma"/>
              </w:rPr>
            </w:pPr>
          </w:p>
        </w:tc>
      </w:tr>
      <w:tr w:rsidR="00524893" w:rsidRPr="00DE331C" w:rsidTr="00C928A8">
        <w:tc>
          <w:tcPr>
            <w:tcW w:w="2977" w:type="dxa"/>
            <w:shd w:val="clear" w:color="auto" w:fill="DEEAF6" w:themeFill="accent1" w:themeFillTint="33"/>
          </w:tcPr>
          <w:p w:rsidR="00722777" w:rsidRPr="00DE331C" w:rsidRDefault="00524893" w:rsidP="00524893">
            <w:pPr>
              <w:tabs>
                <w:tab w:val="left" w:pos="2280"/>
              </w:tabs>
              <w:rPr>
                <w:rFonts w:ascii="Tahoma" w:hAnsi="Tahoma" w:cs="Tahoma"/>
              </w:rPr>
            </w:pPr>
            <w:r w:rsidRPr="00DE331C">
              <w:rPr>
                <w:rFonts w:ascii="Tahoma" w:hAnsi="Tahoma" w:cs="Tahoma"/>
              </w:rPr>
              <w:t>Period covered by the Report</w:t>
            </w:r>
          </w:p>
        </w:tc>
        <w:tc>
          <w:tcPr>
            <w:tcW w:w="7229" w:type="dxa"/>
          </w:tcPr>
          <w:p w:rsidR="00524893" w:rsidRPr="00DE331C" w:rsidRDefault="0003729D" w:rsidP="00524893">
            <w:pPr>
              <w:tabs>
                <w:tab w:val="left" w:pos="2280"/>
              </w:tabs>
              <w:rPr>
                <w:rFonts w:ascii="Tahoma" w:hAnsi="Tahoma" w:cs="Tahoma"/>
              </w:rPr>
            </w:pPr>
            <w:r>
              <w:rPr>
                <w:rFonts w:ascii="Tahoma" w:hAnsi="Tahoma" w:cs="Tahoma"/>
              </w:rPr>
              <w:t xml:space="preserve">November 2017 </w:t>
            </w:r>
          </w:p>
        </w:tc>
      </w:tr>
      <w:tr w:rsidR="00524893" w:rsidRPr="00DE331C" w:rsidTr="00A279B6">
        <w:tc>
          <w:tcPr>
            <w:tcW w:w="2977" w:type="dxa"/>
            <w:shd w:val="clear" w:color="auto" w:fill="DEEAF6" w:themeFill="accent1" w:themeFillTint="33"/>
          </w:tcPr>
          <w:p w:rsidR="00524893" w:rsidRPr="00DE331C" w:rsidRDefault="00524893" w:rsidP="00524893">
            <w:pPr>
              <w:tabs>
                <w:tab w:val="left" w:pos="2280"/>
              </w:tabs>
              <w:rPr>
                <w:rFonts w:ascii="Tahoma" w:hAnsi="Tahoma" w:cs="Tahoma"/>
              </w:rPr>
            </w:pPr>
            <w:r w:rsidRPr="00DE331C">
              <w:rPr>
                <w:rFonts w:ascii="Tahoma" w:hAnsi="Tahoma" w:cs="Tahoma"/>
                <w:bCs/>
              </w:rPr>
              <w:t xml:space="preserve">Summary of overall status </w:t>
            </w:r>
            <w:r w:rsidR="00A279B6">
              <w:rPr>
                <w:rFonts w:ascii="Tahoma" w:hAnsi="Tahoma" w:cs="Tahoma"/>
                <w:bCs/>
              </w:rPr>
              <w:t>including RAG rating</w:t>
            </w:r>
          </w:p>
        </w:tc>
        <w:tc>
          <w:tcPr>
            <w:tcW w:w="7229" w:type="dxa"/>
            <w:shd w:val="clear" w:color="auto" w:fill="FFFFFF" w:themeFill="background1"/>
          </w:tcPr>
          <w:p w:rsidR="007D650D" w:rsidRPr="0003729D" w:rsidRDefault="007D650D" w:rsidP="00722777">
            <w:pPr>
              <w:tabs>
                <w:tab w:val="left" w:pos="2280"/>
              </w:tabs>
              <w:rPr>
                <w:rFonts w:ascii="Arial" w:eastAsia="Calibri" w:hAnsi="Arial" w:cs="Arial"/>
                <w:sz w:val="24"/>
                <w:szCs w:val="24"/>
              </w:rPr>
            </w:pPr>
          </w:p>
          <w:p w:rsidR="007D650D" w:rsidRPr="0003729D" w:rsidRDefault="0003729D" w:rsidP="00722777">
            <w:pPr>
              <w:tabs>
                <w:tab w:val="left" w:pos="2280"/>
              </w:tabs>
              <w:rPr>
                <w:rFonts w:ascii="Arial" w:eastAsia="Calibri" w:hAnsi="Arial" w:cs="Arial"/>
                <w:sz w:val="24"/>
                <w:szCs w:val="24"/>
              </w:rPr>
            </w:pPr>
            <w:r w:rsidRPr="0003729D">
              <w:rPr>
                <w:rFonts w:ascii="Arial" w:eastAsia="Calibri" w:hAnsi="Arial" w:cs="Arial"/>
                <w:sz w:val="24"/>
                <w:szCs w:val="24"/>
              </w:rPr>
              <w:t>Project moving toward significant, but recoverable, cost overrun, slippage and/or significant issues</w:t>
            </w:r>
          </w:p>
          <w:p w:rsidR="007D650D" w:rsidRPr="0003729D" w:rsidRDefault="007D650D" w:rsidP="00722777">
            <w:pPr>
              <w:tabs>
                <w:tab w:val="left" w:pos="2280"/>
              </w:tabs>
              <w:rPr>
                <w:rFonts w:ascii="Arial" w:eastAsia="Calibri" w:hAnsi="Arial" w:cs="Arial"/>
                <w:sz w:val="24"/>
                <w:szCs w:val="24"/>
              </w:rPr>
            </w:pPr>
          </w:p>
          <w:p w:rsidR="007D650D" w:rsidRPr="0003729D" w:rsidRDefault="007D650D" w:rsidP="00722777">
            <w:pPr>
              <w:tabs>
                <w:tab w:val="left" w:pos="2280"/>
              </w:tabs>
              <w:rPr>
                <w:rFonts w:ascii="Arial" w:eastAsia="Calibri" w:hAnsi="Arial" w:cs="Arial"/>
                <w:sz w:val="24"/>
                <w:szCs w:val="24"/>
              </w:rPr>
            </w:pPr>
          </w:p>
          <w:p w:rsidR="007D650D" w:rsidRPr="0003729D" w:rsidRDefault="007D650D" w:rsidP="00722777">
            <w:pPr>
              <w:tabs>
                <w:tab w:val="left" w:pos="2280"/>
              </w:tabs>
              <w:rPr>
                <w:rFonts w:ascii="Arial" w:hAnsi="Arial" w:cs="Arial"/>
                <w:sz w:val="24"/>
                <w:szCs w:val="24"/>
              </w:rPr>
            </w:pPr>
          </w:p>
        </w:tc>
      </w:tr>
      <w:tr w:rsidR="00722777" w:rsidRPr="00DE331C" w:rsidTr="00C928A8">
        <w:tc>
          <w:tcPr>
            <w:tcW w:w="2977" w:type="dxa"/>
            <w:shd w:val="clear" w:color="auto" w:fill="DEEAF6" w:themeFill="accent1" w:themeFillTint="33"/>
          </w:tcPr>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22777" w:rsidRPr="00DE331C" w:rsidRDefault="00722777" w:rsidP="00524893">
            <w:pPr>
              <w:tabs>
                <w:tab w:val="left" w:pos="2280"/>
              </w:tabs>
              <w:rPr>
                <w:rFonts w:ascii="Tahoma" w:hAnsi="Tahoma" w:cs="Tahoma"/>
              </w:rPr>
            </w:pPr>
            <w:r w:rsidRPr="00DE331C">
              <w:rPr>
                <w:rFonts w:ascii="Tahoma" w:hAnsi="Tahoma" w:cs="Tahoma"/>
              </w:rPr>
              <w:t>Key Risks</w:t>
            </w:r>
          </w:p>
        </w:tc>
        <w:tc>
          <w:tcPr>
            <w:tcW w:w="7229" w:type="dxa"/>
          </w:tcPr>
          <w:p w:rsidR="00722777" w:rsidRDefault="00722777"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tbl>
            <w:tblPr>
              <w:tblStyle w:val="TableGrid"/>
              <w:tblW w:w="8645" w:type="dxa"/>
              <w:tblLook w:val="04A0" w:firstRow="1" w:lastRow="0" w:firstColumn="1" w:lastColumn="0" w:noHBand="0" w:noVBand="1"/>
            </w:tblPr>
            <w:tblGrid>
              <w:gridCol w:w="3124"/>
              <w:gridCol w:w="2398"/>
              <w:gridCol w:w="3123"/>
            </w:tblGrid>
            <w:tr w:rsidR="007D650D" w:rsidTr="007D650D">
              <w:trPr>
                <w:trHeight w:val="442"/>
              </w:trPr>
              <w:tc>
                <w:tcPr>
                  <w:tcW w:w="8645" w:type="dxa"/>
                  <w:gridSpan w:val="3"/>
                  <w:tcBorders>
                    <w:bottom w:val="single" w:sz="4" w:space="0" w:color="auto"/>
                  </w:tcBorders>
                  <w:shd w:val="clear" w:color="auto" w:fill="2E74B5" w:themeFill="accent1" w:themeFillShade="BF"/>
                </w:tcPr>
                <w:p w:rsidR="007D650D" w:rsidRPr="001573FA" w:rsidRDefault="007D650D" w:rsidP="007D650D">
                  <w:pPr>
                    <w:rPr>
                      <w:b/>
                      <w:color w:val="FFFFFF" w:themeColor="background1"/>
                    </w:rPr>
                  </w:pPr>
                  <w:r w:rsidRPr="001573FA">
                    <w:rPr>
                      <w:color w:val="FFFFFF" w:themeColor="background1"/>
                    </w:rPr>
                    <w:lastRenderedPageBreak/>
                    <w:t>K</w:t>
                  </w:r>
                  <w:r w:rsidRPr="001573FA">
                    <w:rPr>
                      <w:b/>
                      <w:color w:val="FFFFFF" w:themeColor="background1"/>
                    </w:rPr>
                    <w:t xml:space="preserve">ey Risks </w:t>
                  </w:r>
                </w:p>
                <w:p w:rsidR="007D650D" w:rsidRDefault="007D650D" w:rsidP="007D650D">
                  <w:r w:rsidRPr="00BE147B">
                    <w:rPr>
                      <w:b/>
                      <w:color w:val="FFFFFF" w:themeColor="background1"/>
                      <w:sz w:val="16"/>
                      <w:szCs w:val="16"/>
                    </w:rPr>
                    <w:t>(full list included on Project Risk Register)</w:t>
                  </w:r>
                </w:p>
              </w:tc>
            </w:tr>
            <w:tr w:rsidR="007D650D" w:rsidTr="0003729D">
              <w:trPr>
                <w:trHeight w:val="614"/>
              </w:trPr>
              <w:tc>
                <w:tcPr>
                  <w:tcW w:w="3124" w:type="dxa"/>
                  <w:shd w:val="clear" w:color="auto" w:fill="DEEAF6" w:themeFill="accent1" w:themeFillTint="33"/>
                </w:tcPr>
                <w:p w:rsidR="007D650D" w:rsidRDefault="007D650D" w:rsidP="007D650D">
                  <w:pPr>
                    <w:rPr>
                      <w:b/>
                    </w:rPr>
                  </w:pPr>
                  <w:r w:rsidRPr="00BE147B">
                    <w:rPr>
                      <w:b/>
                    </w:rPr>
                    <w:t>Risk</w:t>
                  </w:r>
                </w:p>
                <w:p w:rsidR="007D650D" w:rsidRPr="00BE147B" w:rsidRDefault="007D650D" w:rsidP="007D650D">
                  <w:pPr>
                    <w:rPr>
                      <w:b/>
                    </w:rPr>
                  </w:pPr>
                  <w:r>
                    <w:rPr>
                      <w:i/>
                      <w:sz w:val="16"/>
                      <w:szCs w:val="16"/>
                    </w:rPr>
                    <w:t xml:space="preserve">(MIGHT </w:t>
                  </w:r>
                  <w:r w:rsidRPr="00056F1F">
                    <w:rPr>
                      <w:i/>
                      <w:sz w:val="16"/>
                      <w:szCs w:val="16"/>
                    </w:rPr>
                    <w:t>occur and mitigation plans to be established to eliminate the risk or reduce impact should the risk occur)</w:t>
                  </w:r>
                </w:p>
              </w:tc>
              <w:tc>
                <w:tcPr>
                  <w:tcW w:w="2398" w:type="dxa"/>
                  <w:shd w:val="clear" w:color="auto" w:fill="DEEAF6" w:themeFill="accent1" w:themeFillTint="33"/>
                </w:tcPr>
                <w:p w:rsidR="007D650D" w:rsidRDefault="007D650D" w:rsidP="007D650D">
                  <w:pPr>
                    <w:rPr>
                      <w:b/>
                    </w:rPr>
                  </w:pPr>
                  <w:r w:rsidRPr="00BE147B">
                    <w:rPr>
                      <w:b/>
                    </w:rPr>
                    <w:t>RAG</w:t>
                  </w:r>
                </w:p>
                <w:p w:rsidR="007D650D" w:rsidRPr="00056F1F" w:rsidRDefault="007D650D" w:rsidP="007D650D">
                  <w:r w:rsidRPr="00056F1F">
                    <w:rPr>
                      <w:i/>
                      <w:sz w:val="16"/>
                      <w:szCs w:val="16"/>
                    </w:rPr>
                    <w:t>(insert RAG Status : Red/Amber/Green)</w:t>
                  </w:r>
                </w:p>
              </w:tc>
              <w:tc>
                <w:tcPr>
                  <w:tcW w:w="3123" w:type="dxa"/>
                  <w:shd w:val="clear" w:color="auto" w:fill="DEEAF6" w:themeFill="accent1" w:themeFillTint="33"/>
                </w:tcPr>
                <w:p w:rsidR="007D650D" w:rsidRPr="00FC5762" w:rsidRDefault="007D650D" w:rsidP="007D650D">
                  <w:pPr>
                    <w:rPr>
                      <w:b/>
                    </w:rPr>
                  </w:pPr>
                  <w:r>
                    <w:rPr>
                      <w:b/>
                    </w:rPr>
                    <w:t>Mitigation</w:t>
                  </w:r>
                </w:p>
              </w:tc>
            </w:tr>
            <w:tr w:rsidR="0003729D" w:rsidTr="0003729D">
              <w:trPr>
                <w:trHeight w:val="1400"/>
              </w:trPr>
              <w:tc>
                <w:tcPr>
                  <w:tcW w:w="3124" w:type="dxa"/>
                  <w:shd w:val="clear" w:color="auto" w:fill="D5DCE4" w:themeFill="text2" w:themeFillTint="33"/>
                </w:tcPr>
                <w:p w:rsidR="0003729D" w:rsidRPr="00C832A2" w:rsidRDefault="0003729D" w:rsidP="00224768">
                  <w:pPr>
                    <w:pStyle w:val="ListParagraph"/>
                    <w:jc w:val="both"/>
                    <w:rPr>
                      <w:sz w:val="20"/>
                      <w:szCs w:val="20"/>
                    </w:rPr>
                  </w:pPr>
                  <w:r w:rsidRPr="00C832A2">
                    <w:rPr>
                      <w:sz w:val="20"/>
                      <w:szCs w:val="20"/>
                    </w:rPr>
                    <w:t>Project breaching agreed timescales</w:t>
                  </w:r>
                  <w:r>
                    <w:rPr>
                      <w:sz w:val="20"/>
                      <w:szCs w:val="20"/>
                    </w:rPr>
                    <w:t xml:space="preserve">. </w:t>
                  </w:r>
                </w:p>
              </w:tc>
              <w:tc>
                <w:tcPr>
                  <w:tcW w:w="2398" w:type="dxa"/>
                </w:tcPr>
                <w:p w:rsidR="0003729D" w:rsidRPr="0021184B" w:rsidRDefault="0003729D" w:rsidP="00224768">
                  <w:pPr>
                    <w:pStyle w:val="ListParagraph"/>
                  </w:pPr>
                </w:p>
                <w:p w:rsidR="0003729D" w:rsidRPr="0021184B" w:rsidRDefault="00176325" w:rsidP="00224768">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609600</wp:posOffset>
                            </wp:positionH>
                            <wp:positionV relativeFrom="paragraph">
                              <wp:posOffset>135255</wp:posOffset>
                            </wp:positionV>
                            <wp:extent cx="379095" cy="380365"/>
                            <wp:effectExtent l="0" t="0" r="20955" b="19685"/>
                            <wp:wrapNone/>
                            <wp:docPr id="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80365"/>
                                    </a:xfrm>
                                    <a:prstGeom prst="flowChartConnector">
                                      <a:avLst/>
                                    </a:prstGeom>
                                    <a:solidFill>
                                      <a:srgbClr val="FFC000"/>
                                    </a:solidFill>
                                    <a:ln w="9525">
                                      <a:solidFill>
                                        <a:srgbClr val="000000"/>
                                      </a:solidFill>
                                      <a:round/>
                                      <a:headEnd/>
                                      <a:tailEnd/>
                                    </a:ln>
                                  </wps:spPr>
                                  <wps:txbx>
                                    <w:txbxContent>
                                      <w:p w:rsidR="0003729D" w:rsidRDefault="0003729D" w:rsidP="006B68C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10" o:spid="_x0000_s1027" type="#_x0000_t120" style="position:absolute;margin-left:48pt;margin-top:10.65pt;width:29.8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" fillcolor="#ffc000">
                            <v:textbox>
                              <w:txbxContent>
                                <w:p w:rsidR="0003729D" w:rsidRDefault="0003729D" w:rsidP="006B68C4">
                                  <w:r>
                                    <w:t>A</w:t>
                                  </w:r>
                                </w:p>
                              </w:txbxContent>
                            </v:textbox>
                          </v:shape>
                        </w:pict>
                      </mc:Fallback>
                    </mc:AlternateContent>
                  </w:r>
                </w:p>
                <w:p w:rsidR="0003729D" w:rsidRPr="0021184B" w:rsidRDefault="0003729D" w:rsidP="00224768">
                  <w:pPr>
                    <w:rPr>
                      <w:color w:val="00B050"/>
                    </w:rPr>
                  </w:pPr>
                </w:p>
                <w:p w:rsidR="0003729D" w:rsidRPr="00DE0859" w:rsidRDefault="0003729D" w:rsidP="00224768">
                  <w:pPr>
                    <w:jc w:val="center"/>
                    <w:rPr>
                      <w:color w:val="FF0000"/>
                      <w:highlight w:val="green"/>
                    </w:rPr>
                  </w:pPr>
                </w:p>
              </w:tc>
              <w:tc>
                <w:tcPr>
                  <w:tcW w:w="3123" w:type="dxa"/>
                  <w:shd w:val="clear" w:color="auto" w:fill="D5DCE4" w:themeFill="text2" w:themeFillTint="33"/>
                </w:tcPr>
                <w:p w:rsidR="0003729D" w:rsidRPr="006B68C4" w:rsidRDefault="0003729D" w:rsidP="00224768">
                  <w:pPr>
                    <w:jc w:val="both"/>
                    <w:rPr>
                      <w:sz w:val="20"/>
                      <w:szCs w:val="20"/>
                    </w:rPr>
                  </w:pPr>
                  <w:r>
                    <w:rPr>
                      <w:sz w:val="20"/>
                      <w:szCs w:val="20"/>
                    </w:rPr>
                    <w:t xml:space="preserve">The consultation analysis and report will not be brought to November Board as initially planned. Due to the </w:t>
                  </w:r>
                  <w:r w:rsidRPr="006B68C4">
                    <w:rPr>
                      <w:sz w:val="20"/>
                      <w:szCs w:val="20"/>
                    </w:rPr>
                    <w:t>depth and richness of feedback</w:t>
                  </w:r>
                  <w:r>
                    <w:rPr>
                      <w:sz w:val="20"/>
                      <w:szCs w:val="20"/>
                    </w:rPr>
                    <w:t xml:space="preserve"> received from consultation the timescales for analysis have been extended. Currently the project team are in discussion with </w:t>
                  </w:r>
                  <w:proofErr w:type="spellStart"/>
                  <w:r>
                    <w:rPr>
                      <w:sz w:val="20"/>
                      <w:szCs w:val="20"/>
                    </w:rPr>
                    <w:t>Hywlus</w:t>
                  </w:r>
                  <w:proofErr w:type="spellEnd"/>
                  <w:r>
                    <w:rPr>
                      <w:sz w:val="20"/>
                      <w:szCs w:val="20"/>
                    </w:rPr>
                    <w:t xml:space="preserve"> with regard to the final report date and content. Once agreement has been reached and date agreed a timeline will be developed.  </w:t>
                  </w:r>
                </w:p>
                <w:p w:rsidR="0003729D" w:rsidRPr="00C832A2" w:rsidRDefault="0003729D" w:rsidP="00224768">
                  <w:pPr>
                    <w:jc w:val="both"/>
                    <w:rPr>
                      <w:sz w:val="20"/>
                      <w:szCs w:val="20"/>
                    </w:rPr>
                  </w:pPr>
                </w:p>
              </w:tc>
            </w:tr>
            <w:tr w:rsidR="0003729D" w:rsidTr="0003729D">
              <w:trPr>
                <w:trHeight w:val="3486"/>
              </w:trPr>
              <w:tc>
                <w:tcPr>
                  <w:tcW w:w="3124" w:type="dxa"/>
                  <w:shd w:val="clear" w:color="auto" w:fill="D5DCE4" w:themeFill="text2" w:themeFillTint="33"/>
                </w:tcPr>
                <w:p w:rsidR="0003729D" w:rsidRPr="00C832A2" w:rsidRDefault="0003729D" w:rsidP="00224768">
                  <w:pPr>
                    <w:pStyle w:val="ListParagraph"/>
                    <w:jc w:val="both"/>
                    <w:rPr>
                      <w:sz w:val="20"/>
                      <w:szCs w:val="20"/>
                    </w:rPr>
                  </w:pPr>
                  <w:r w:rsidRPr="00C832A2">
                    <w:rPr>
                      <w:sz w:val="20"/>
                      <w:szCs w:val="20"/>
                    </w:rPr>
                    <w:t>The capital requirements of service redesign not being available. The utilisation of existing capital/budget within the Directorate is expected to fund part of the service redesign. Further capital may need to be obtained through a discretionary capital and Welsh Government funding.</w:t>
                  </w:r>
                </w:p>
              </w:tc>
              <w:tc>
                <w:tcPr>
                  <w:tcW w:w="2398" w:type="dxa"/>
                </w:tcPr>
                <w:p w:rsidR="0003729D" w:rsidRDefault="00176325" w:rsidP="00224768">
                  <w:pPr>
                    <w:pStyle w:val="ListParagrap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584835</wp:posOffset>
                            </wp:positionH>
                            <wp:positionV relativeFrom="paragraph">
                              <wp:posOffset>76200</wp:posOffset>
                            </wp:positionV>
                            <wp:extent cx="379095" cy="380365"/>
                            <wp:effectExtent l="0" t="0" r="20955" b="19685"/>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80365"/>
                                    </a:xfrm>
                                    <a:prstGeom prst="flowChartConnector">
                                      <a:avLst/>
                                    </a:prstGeom>
                                    <a:solidFill>
                                      <a:srgbClr val="FFC000"/>
                                    </a:solidFill>
                                    <a:ln w="9525">
                                      <a:solidFill>
                                        <a:srgbClr val="000000"/>
                                      </a:solidFill>
                                      <a:round/>
                                      <a:headEnd/>
                                      <a:tailEnd/>
                                    </a:ln>
                                  </wps:spPr>
                                  <wps:txbx>
                                    <w:txbxContent>
                                      <w:p w:rsidR="0003729D" w:rsidRDefault="0003729D" w:rsidP="00B90C81">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20" style="position:absolute;left:0;text-align:left;margin-left:46.05pt;margin-top:6pt;width:29.85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" fillcolor="#ffc000">
                            <v:textbox>
                              <w:txbxContent>
                                <w:p w:rsidR="0003729D" w:rsidRDefault="0003729D" w:rsidP="00B90C81">
                                  <w:r>
                                    <w:t>A</w:t>
                                  </w:r>
                                </w:p>
                              </w:txbxContent>
                            </v:textbox>
                          </v:shape>
                        </w:pict>
                      </mc:Fallback>
                    </mc:AlternateContent>
                  </w:r>
                </w:p>
                <w:p w:rsidR="0003729D" w:rsidRPr="00D378E8" w:rsidRDefault="0003729D" w:rsidP="00224768">
                  <w:pPr>
                    <w:pStyle w:val="ListParagraph"/>
                  </w:pPr>
                </w:p>
              </w:tc>
              <w:tc>
                <w:tcPr>
                  <w:tcW w:w="3123" w:type="dxa"/>
                  <w:shd w:val="clear" w:color="auto" w:fill="D5DCE4" w:themeFill="text2" w:themeFillTint="33"/>
                </w:tcPr>
                <w:p w:rsidR="0003729D" w:rsidRPr="00684020" w:rsidRDefault="0003729D" w:rsidP="00224768">
                  <w:pPr>
                    <w:jc w:val="both"/>
                    <w:rPr>
                      <w:rFonts w:eastAsia="Times New Roman" w:cs="Times New Roman"/>
                      <w:spacing w:val="-3"/>
                      <w:sz w:val="18"/>
                      <w:szCs w:val="18"/>
                    </w:rPr>
                  </w:pPr>
                  <w:r>
                    <w:rPr>
                      <w:sz w:val="20"/>
                      <w:szCs w:val="20"/>
                    </w:rPr>
                    <w:t xml:space="preserve">An </w:t>
                  </w:r>
                  <w:r w:rsidRPr="00684020">
                    <w:rPr>
                      <w:rFonts w:eastAsia="Times New Roman" w:cs="Times New Roman"/>
                      <w:spacing w:val="-3"/>
                      <w:sz w:val="18"/>
                      <w:szCs w:val="18"/>
                    </w:rPr>
                    <w:t>Estate, IT &amp; Infrastructure Design Group</w:t>
                  </w:r>
                </w:p>
                <w:p w:rsidR="0003729D" w:rsidRDefault="0003729D" w:rsidP="00224768">
                  <w:pPr>
                    <w:jc w:val="both"/>
                    <w:rPr>
                      <w:sz w:val="20"/>
                      <w:szCs w:val="20"/>
                    </w:rPr>
                  </w:pPr>
                  <w:r>
                    <w:rPr>
                      <w:sz w:val="20"/>
                      <w:szCs w:val="20"/>
                    </w:rPr>
                    <w:t>(</w:t>
                  </w:r>
                  <w:proofErr w:type="spellStart"/>
                  <w:r>
                    <w:rPr>
                      <w:sz w:val="20"/>
                      <w:szCs w:val="20"/>
                    </w:rPr>
                    <w:t>Workstream</w:t>
                  </w:r>
                  <w:proofErr w:type="spellEnd"/>
                  <w:r>
                    <w:rPr>
                      <w:sz w:val="20"/>
                      <w:szCs w:val="20"/>
                    </w:rPr>
                    <w:t xml:space="preserve"> reporting to MHIG) will oversee the expected capital requirements costings for a new service model. </w:t>
                  </w:r>
                </w:p>
                <w:p w:rsidR="0003729D" w:rsidRDefault="0003729D" w:rsidP="00224768">
                  <w:pPr>
                    <w:jc w:val="both"/>
                    <w:rPr>
                      <w:sz w:val="20"/>
                      <w:szCs w:val="20"/>
                    </w:rPr>
                  </w:pPr>
                  <w:r>
                    <w:rPr>
                      <w:sz w:val="20"/>
                      <w:szCs w:val="20"/>
                    </w:rPr>
                    <w:t>An outline implementation draft GANNT chart has been developed which indicates expected capital requirements and timescales for these.</w:t>
                  </w:r>
                </w:p>
                <w:p w:rsidR="0003729D" w:rsidRDefault="0003729D" w:rsidP="00224768">
                  <w:pPr>
                    <w:jc w:val="both"/>
                    <w:rPr>
                      <w:sz w:val="20"/>
                      <w:szCs w:val="20"/>
                    </w:rPr>
                  </w:pPr>
                  <w:r>
                    <w:rPr>
                      <w:sz w:val="20"/>
                      <w:szCs w:val="20"/>
                    </w:rPr>
                    <w:t>Regular updates with regard to the project progress and capital requirements will be provided to the CEIMT/Planning Sub-group.</w:t>
                  </w:r>
                </w:p>
                <w:p w:rsidR="0003729D" w:rsidRPr="00C832A2" w:rsidRDefault="0003729D" w:rsidP="00224768">
                  <w:pPr>
                    <w:jc w:val="both"/>
                    <w:rPr>
                      <w:sz w:val="20"/>
                      <w:szCs w:val="20"/>
                    </w:rPr>
                  </w:pPr>
                </w:p>
              </w:tc>
            </w:tr>
            <w:tr w:rsidR="0003729D" w:rsidTr="0003729D">
              <w:trPr>
                <w:trHeight w:val="3243"/>
              </w:trPr>
              <w:tc>
                <w:tcPr>
                  <w:tcW w:w="3124" w:type="dxa"/>
                  <w:shd w:val="clear" w:color="auto" w:fill="D5DCE4" w:themeFill="text2" w:themeFillTint="33"/>
                </w:tcPr>
                <w:p w:rsidR="0003729D" w:rsidRPr="00C832A2" w:rsidRDefault="0003729D" w:rsidP="00224768">
                  <w:pPr>
                    <w:pStyle w:val="ListParagraph"/>
                    <w:jc w:val="both"/>
                    <w:rPr>
                      <w:sz w:val="20"/>
                      <w:szCs w:val="20"/>
                    </w:rPr>
                  </w:pPr>
                  <w:r w:rsidRPr="00C832A2">
                    <w:rPr>
                      <w:sz w:val="20"/>
                      <w:szCs w:val="20"/>
                    </w:rPr>
                    <w:t>Judicial Review and resistance to change from staff and stakeholders.</w:t>
                  </w:r>
                </w:p>
              </w:tc>
              <w:tc>
                <w:tcPr>
                  <w:tcW w:w="2398" w:type="dxa"/>
                </w:tcPr>
                <w:p w:rsidR="0003729D" w:rsidRDefault="0003729D" w:rsidP="00224768">
                  <w:pPr>
                    <w:pStyle w:val="ListParagraph"/>
                  </w:pPr>
                </w:p>
                <w:p w:rsidR="0003729D" w:rsidRPr="00D378E8" w:rsidRDefault="00176325" w:rsidP="00224768">
                  <w:pPr>
                    <w:pStyle w:val="ListParagraph"/>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670560</wp:posOffset>
                            </wp:positionH>
                            <wp:positionV relativeFrom="paragraph">
                              <wp:posOffset>443230</wp:posOffset>
                            </wp:positionV>
                            <wp:extent cx="382905" cy="380365"/>
                            <wp:effectExtent l="0" t="0" r="17145" b="19685"/>
                            <wp:wrapNone/>
                            <wp:docPr id="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0365"/>
                                    </a:xfrm>
                                    <a:prstGeom prst="flowChartConnector">
                                      <a:avLst/>
                                    </a:prstGeom>
                                    <a:solidFill>
                                      <a:srgbClr val="92D050"/>
                                    </a:solidFill>
                                    <a:ln w="9525">
                                      <a:solidFill>
                                        <a:srgbClr val="000000"/>
                                      </a:solidFill>
                                      <a:round/>
                                      <a:headEnd/>
                                      <a:tailEnd/>
                                    </a:ln>
                                  </wps:spPr>
                                  <wps:txbx>
                                    <w:txbxContent>
                                      <w:p w:rsidR="0003729D" w:rsidRDefault="0003729D" w:rsidP="00B90C81">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9" type="#_x0000_t120" style="position:absolute;left:0;text-align:left;margin-left:52.8pt;margin-top:34.9pt;width:30.15pt;height: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" fillcolor="#92d050">
                            <v:textbox>
                              <w:txbxContent>
                                <w:p w:rsidR="0003729D" w:rsidRDefault="0003729D" w:rsidP="00B90C81">
                                  <w:r>
                                    <w:t>G</w:t>
                                  </w:r>
                                </w:p>
                              </w:txbxContent>
                            </v:textbox>
                          </v:shape>
                        </w:pict>
                      </mc:Fallback>
                    </mc:AlternateContent>
                  </w:r>
                </w:p>
              </w:tc>
              <w:tc>
                <w:tcPr>
                  <w:tcW w:w="3123" w:type="dxa"/>
                  <w:shd w:val="clear" w:color="auto" w:fill="D5DCE4" w:themeFill="text2" w:themeFillTint="33"/>
                </w:tcPr>
                <w:p w:rsidR="0003729D" w:rsidRPr="00C832A2" w:rsidRDefault="0003729D" w:rsidP="00224768">
                  <w:pPr>
                    <w:jc w:val="both"/>
                    <w:rPr>
                      <w:sz w:val="20"/>
                      <w:szCs w:val="20"/>
                    </w:rPr>
                  </w:pPr>
                  <w:r w:rsidRPr="00C832A2">
                    <w:rPr>
                      <w:sz w:val="20"/>
                      <w:szCs w:val="20"/>
                    </w:rPr>
                    <w:t xml:space="preserve">HDUHB’s Engagement Team, staff/stakeholder representatives, as well a CHC member, are established members of the Mental </w:t>
                  </w:r>
                  <w:r>
                    <w:rPr>
                      <w:sz w:val="20"/>
                      <w:szCs w:val="20"/>
                    </w:rPr>
                    <w:t>Health Implementation</w:t>
                  </w:r>
                  <w:r w:rsidRPr="00C832A2">
                    <w:rPr>
                      <w:sz w:val="20"/>
                      <w:szCs w:val="20"/>
                    </w:rPr>
                    <w:t xml:space="preserve"> Group. </w:t>
                  </w:r>
                </w:p>
                <w:p w:rsidR="0003729D" w:rsidRDefault="0003729D" w:rsidP="00224768">
                  <w:pPr>
                    <w:jc w:val="both"/>
                    <w:rPr>
                      <w:sz w:val="20"/>
                      <w:szCs w:val="20"/>
                    </w:rPr>
                  </w:pPr>
                  <w:r w:rsidRPr="00C832A2">
                    <w:rPr>
                      <w:sz w:val="20"/>
                      <w:szCs w:val="20"/>
                    </w:rPr>
                    <w:t>A communication strategy has been developed and a comprehensive engagement phase within the project has been undertaken.</w:t>
                  </w:r>
                </w:p>
                <w:p w:rsidR="0003729D" w:rsidRPr="00C832A2" w:rsidRDefault="0003729D" w:rsidP="00224768">
                  <w:pPr>
                    <w:jc w:val="both"/>
                    <w:rPr>
                      <w:sz w:val="20"/>
                      <w:szCs w:val="20"/>
                    </w:rPr>
                  </w:pPr>
                  <w:r>
                    <w:rPr>
                      <w:sz w:val="20"/>
                      <w:szCs w:val="20"/>
                    </w:rPr>
                    <w:t xml:space="preserve">The MHIG will continue to work closely with the Communications and Engagement teams during the implementation phase.   </w:t>
                  </w:r>
                </w:p>
              </w:tc>
            </w:tr>
          </w:tbl>
          <w:p w:rsidR="007D650D" w:rsidRDefault="007D650D" w:rsidP="00524893">
            <w:pPr>
              <w:tabs>
                <w:tab w:val="left" w:pos="2280"/>
              </w:tabs>
              <w:rPr>
                <w:rFonts w:ascii="Tahoma" w:hAnsi="Tahoma" w:cs="Tahoma"/>
              </w:rPr>
            </w:pPr>
          </w:p>
          <w:p w:rsidR="007D650D" w:rsidRDefault="007D650D" w:rsidP="00524893">
            <w:pPr>
              <w:tabs>
                <w:tab w:val="left" w:pos="2280"/>
              </w:tabs>
              <w:rPr>
                <w:rFonts w:ascii="Tahoma" w:hAnsi="Tahoma" w:cs="Tahoma"/>
              </w:rPr>
            </w:pPr>
          </w:p>
          <w:p w:rsidR="007D650D" w:rsidRPr="00DE331C" w:rsidRDefault="007D650D" w:rsidP="00524893">
            <w:pPr>
              <w:tabs>
                <w:tab w:val="left" w:pos="2280"/>
              </w:tabs>
              <w:rPr>
                <w:rFonts w:ascii="Tahoma" w:hAnsi="Tahoma" w:cs="Tahoma"/>
              </w:rPr>
            </w:pP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rPr>
            </w:pPr>
            <w:r w:rsidRPr="00DE331C">
              <w:rPr>
                <w:rFonts w:ascii="Tahoma" w:hAnsi="Tahoma" w:cs="Tahoma"/>
              </w:rPr>
              <w:lastRenderedPageBreak/>
              <w:t xml:space="preserve">Key Issues </w:t>
            </w:r>
          </w:p>
        </w:tc>
        <w:tc>
          <w:tcPr>
            <w:tcW w:w="7229" w:type="dxa"/>
          </w:tcPr>
          <w:tbl>
            <w:tblPr>
              <w:tblStyle w:val="TableGrid"/>
              <w:tblW w:w="8784" w:type="dxa"/>
              <w:tblLook w:val="04A0" w:firstRow="1" w:lastRow="0" w:firstColumn="1" w:lastColumn="0" w:noHBand="0" w:noVBand="1"/>
            </w:tblPr>
            <w:tblGrid>
              <w:gridCol w:w="3076"/>
              <w:gridCol w:w="2479"/>
              <w:gridCol w:w="3229"/>
            </w:tblGrid>
            <w:tr w:rsidR="007D650D" w:rsidTr="007D650D">
              <w:trPr>
                <w:trHeight w:val="546"/>
              </w:trPr>
              <w:tc>
                <w:tcPr>
                  <w:tcW w:w="8784" w:type="dxa"/>
                  <w:gridSpan w:val="3"/>
                  <w:shd w:val="clear" w:color="auto" w:fill="2E74B5" w:themeFill="accent1" w:themeFillShade="BF"/>
                </w:tcPr>
                <w:p w:rsidR="007D650D" w:rsidRDefault="007D650D" w:rsidP="007D650D">
                  <w:r>
                    <w:rPr>
                      <w:b/>
                      <w:color w:val="FFFFFF" w:themeColor="background1"/>
                    </w:rPr>
                    <w:t>Key Issues</w:t>
                  </w:r>
                </w:p>
              </w:tc>
            </w:tr>
            <w:tr w:rsidR="007D650D" w:rsidTr="007D650D">
              <w:trPr>
                <w:trHeight w:val="910"/>
              </w:trPr>
              <w:tc>
                <w:tcPr>
                  <w:tcW w:w="3076" w:type="dxa"/>
                  <w:shd w:val="clear" w:color="auto" w:fill="D5DCE4" w:themeFill="text2" w:themeFillTint="33"/>
                </w:tcPr>
                <w:p w:rsidR="007D650D" w:rsidRDefault="007D650D" w:rsidP="007D650D">
                  <w:pPr>
                    <w:rPr>
                      <w:b/>
                    </w:rPr>
                  </w:pPr>
                  <w:r>
                    <w:rPr>
                      <w:b/>
                    </w:rPr>
                    <w:lastRenderedPageBreak/>
                    <w:t>Issue</w:t>
                  </w:r>
                </w:p>
                <w:p w:rsidR="007D650D" w:rsidRDefault="007D650D" w:rsidP="007D650D">
                  <w:r w:rsidRPr="00056F1F">
                    <w:rPr>
                      <w:i/>
                      <w:sz w:val="16"/>
                      <w:szCs w:val="16"/>
                    </w:rPr>
                    <w:t>(IS happening and must be resolved to move forward)</w:t>
                  </w:r>
                </w:p>
              </w:tc>
              <w:tc>
                <w:tcPr>
                  <w:tcW w:w="2479" w:type="dxa"/>
                  <w:shd w:val="clear" w:color="auto" w:fill="D5DCE4" w:themeFill="text2" w:themeFillTint="33"/>
                </w:tcPr>
                <w:p w:rsidR="007D650D" w:rsidRDefault="007D650D" w:rsidP="007D650D">
                  <w:pPr>
                    <w:rPr>
                      <w:b/>
                    </w:rPr>
                  </w:pPr>
                  <w:r w:rsidRPr="00BE147B">
                    <w:rPr>
                      <w:b/>
                    </w:rPr>
                    <w:t>RAG</w:t>
                  </w:r>
                </w:p>
                <w:p w:rsidR="007D650D" w:rsidRPr="00056F1F" w:rsidRDefault="007D650D" w:rsidP="007D650D">
                  <w:r w:rsidRPr="00056F1F">
                    <w:rPr>
                      <w:i/>
                      <w:sz w:val="16"/>
                      <w:szCs w:val="16"/>
                    </w:rPr>
                    <w:t>(insert RAG Status : Red/Amber/Green)</w:t>
                  </w:r>
                </w:p>
              </w:tc>
              <w:tc>
                <w:tcPr>
                  <w:tcW w:w="3229" w:type="dxa"/>
                  <w:shd w:val="clear" w:color="auto" w:fill="D5DCE4" w:themeFill="text2" w:themeFillTint="33"/>
                </w:tcPr>
                <w:p w:rsidR="007D650D" w:rsidRPr="00FC5762" w:rsidRDefault="007D650D" w:rsidP="007D650D">
                  <w:pPr>
                    <w:rPr>
                      <w:b/>
                    </w:rPr>
                  </w:pPr>
                  <w:r>
                    <w:rPr>
                      <w:b/>
                    </w:rPr>
                    <w:t>Action</w:t>
                  </w:r>
                </w:p>
              </w:tc>
            </w:tr>
            <w:tr w:rsidR="0003729D" w:rsidTr="007D650D">
              <w:trPr>
                <w:trHeight w:val="1487"/>
              </w:trPr>
              <w:tc>
                <w:tcPr>
                  <w:tcW w:w="3076" w:type="dxa"/>
                  <w:shd w:val="clear" w:color="auto" w:fill="DEEAF6" w:themeFill="accent1" w:themeFillTint="33"/>
                </w:tcPr>
                <w:p w:rsidR="0003729D" w:rsidRPr="00C832A2" w:rsidRDefault="0003729D" w:rsidP="00224768">
                  <w:pPr>
                    <w:jc w:val="both"/>
                    <w:rPr>
                      <w:sz w:val="20"/>
                      <w:szCs w:val="20"/>
                    </w:rPr>
                  </w:pPr>
                  <w:r>
                    <w:rPr>
                      <w:sz w:val="20"/>
                      <w:szCs w:val="20"/>
                    </w:rPr>
                    <w:t xml:space="preserve">The timescales for the delivery of the consultation analysis has overrun. This is due to a complexity, richness and depth of feedback from the consultation that was not anticipated by </w:t>
                  </w:r>
                  <w:proofErr w:type="spellStart"/>
                  <w:r>
                    <w:rPr>
                      <w:sz w:val="20"/>
                      <w:szCs w:val="20"/>
                    </w:rPr>
                    <w:t>Hywlus</w:t>
                  </w:r>
                  <w:proofErr w:type="spellEnd"/>
                  <w:r>
                    <w:rPr>
                      <w:sz w:val="20"/>
                      <w:szCs w:val="20"/>
                    </w:rPr>
                    <w:t xml:space="preserve"> (independent analysis company) and the MHIG. </w:t>
                  </w:r>
                </w:p>
              </w:tc>
              <w:tc>
                <w:tcPr>
                  <w:tcW w:w="2479" w:type="dxa"/>
                </w:tcPr>
                <w:p w:rsidR="0003729D" w:rsidRPr="00D378E8" w:rsidRDefault="00176325" w:rsidP="00224768">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654050</wp:posOffset>
                            </wp:positionH>
                            <wp:positionV relativeFrom="paragraph">
                              <wp:posOffset>659765</wp:posOffset>
                            </wp:positionV>
                            <wp:extent cx="379095" cy="380365"/>
                            <wp:effectExtent l="0" t="0" r="20955" b="1968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380365"/>
                                    </a:xfrm>
                                    <a:prstGeom prst="flowChartConnector">
                                      <a:avLst/>
                                    </a:prstGeom>
                                    <a:solidFill>
                                      <a:srgbClr val="FFC000"/>
                                    </a:solidFill>
                                    <a:ln w="9525">
                                      <a:solidFill>
                                        <a:srgbClr val="000000"/>
                                      </a:solidFill>
                                      <a:round/>
                                      <a:headEnd/>
                                      <a:tailEnd/>
                                    </a:ln>
                                  </wps:spPr>
                                  <wps:txbx>
                                    <w:txbxContent>
                                      <w:p w:rsidR="0003729D" w:rsidRDefault="0003729D" w:rsidP="00343449">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0" type="#_x0000_t120" style="position:absolute;margin-left:51.5pt;margin-top:51.95pt;width:29.85pt;height:2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" fillcolor="#ffc000">
                            <v:textbox>
                              <w:txbxContent>
                                <w:p w:rsidR="0003729D" w:rsidRDefault="0003729D" w:rsidP="00343449">
                                  <w:r>
                                    <w:t>A</w:t>
                                  </w:r>
                                </w:p>
                              </w:txbxContent>
                            </v:textbox>
                          </v:shape>
                        </w:pict>
                      </mc:Fallback>
                    </mc:AlternateContent>
                  </w:r>
                </w:p>
              </w:tc>
              <w:tc>
                <w:tcPr>
                  <w:tcW w:w="3229" w:type="dxa"/>
                  <w:shd w:val="clear" w:color="auto" w:fill="DEEAF6" w:themeFill="accent1" w:themeFillTint="33"/>
                </w:tcPr>
                <w:p w:rsidR="0003729D" w:rsidRDefault="0003729D" w:rsidP="00224768">
                  <w:pPr>
                    <w:jc w:val="both"/>
                    <w:rPr>
                      <w:sz w:val="20"/>
                      <w:szCs w:val="20"/>
                    </w:rPr>
                  </w:pPr>
                  <w:r>
                    <w:rPr>
                      <w:sz w:val="20"/>
                      <w:szCs w:val="20"/>
                    </w:rPr>
                    <w:t>Although a delay is apparent in the completion of the consultation analysis, it is important that the MHIG take the time to consider feedback from the consultation analysis and consider the impact this may have on the proposals. A brief has been written to the chair of the health board to explain the reasoning behind the change of date for Board. Also, key stakeholders have been informed.</w:t>
                  </w:r>
                </w:p>
                <w:p w:rsidR="0003729D" w:rsidRPr="00C832A2" w:rsidRDefault="0003729D" w:rsidP="00224768">
                  <w:pPr>
                    <w:jc w:val="both"/>
                    <w:rPr>
                      <w:sz w:val="20"/>
                      <w:szCs w:val="20"/>
                    </w:rPr>
                  </w:pPr>
                  <w:r>
                    <w:rPr>
                      <w:sz w:val="20"/>
                      <w:szCs w:val="20"/>
                    </w:rPr>
                    <w:t xml:space="preserve">An adjusted timeline will be developed once an agreed date on the final consultation report has been agreed. </w:t>
                  </w:r>
                </w:p>
              </w:tc>
            </w:tr>
            <w:tr w:rsidR="0003729D" w:rsidTr="007D650D">
              <w:trPr>
                <w:trHeight w:val="2974"/>
              </w:trPr>
              <w:tc>
                <w:tcPr>
                  <w:tcW w:w="3076" w:type="dxa"/>
                  <w:shd w:val="clear" w:color="auto" w:fill="DEEAF6" w:themeFill="accent1" w:themeFillTint="33"/>
                </w:tcPr>
                <w:p w:rsidR="0003729D" w:rsidRPr="00C832A2" w:rsidRDefault="0003729D" w:rsidP="00224768">
                  <w:pPr>
                    <w:jc w:val="both"/>
                    <w:rPr>
                      <w:sz w:val="20"/>
                      <w:szCs w:val="20"/>
                    </w:rPr>
                  </w:pPr>
                  <w:r>
                    <w:rPr>
                      <w:sz w:val="20"/>
                      <w:szCs w:val="20"/>
                    </w:rPr>
                    <w:t>Consultation to achieve best practice status, in achieving this the consultation will be assured from a legal perspective should a judicial review or legal challenge be brought. Further work needs to be completed on meeting equalities criteria in order to achieve best practice status.</w:t>
                  </w:r>
                </w:p>
              </w:tc>
              <w:tc>
                <w:tcPr>
                  <w:tcW w:w="2479" w:type="dxa"/>
                </w:tcPr>
                <w:p w:rsidR="0003729D" w:rsidRPr="00D378E8" w:rsidRDefault="00176325" w:rsidP="00224768">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621665</wp:posOffset>
                            </wp:positionH>
                            <wp:positionV relativeFrom="paragraph">
                              <wp:posOffset>304800</wp:posOffset>
                            </wp:positionV>
                            <wp:extent cx="382905" cy="380365"/>
                            <wp:effectExtent l="0" t="0" r="17145" b="19685"/>
                            <wp:wrapNone/>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0365"/>
                                    </a:xfrm>
                                    <a:prstGeom prst="flowChartConnector">
                                      <a:avLst/>
                                    </a:prstGeom>
                                    <a:solidFill>
                                      <a:srgbClr val="92D050"/>
                                    </a:solidFill>
                                    <a:ln w="9525">
                                      <a:solidFill>
                                        <a:srgbClr val="000000"/>
                                      </a:solidFill>
                                      <a:round/>
                                      <a:headEnd/>
                                      <a:tailEnd/>
                                    </a:ln>
                                  </wps:spPr>
                                  <wps:txbx>
                                    <w:txbxContent>
                                      <w:p w:rsidR="0003729D" w:rsidRDefault="0003729D" w:rsidP="00BC1296">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31" type="#_x0000_t120" style="position:absolute;margin-left:48.95pt;margin-top:24pt;width:30.15pt;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" fillcolor="#92d050">
                            <v:textbox>
                              <w:txbxContent>
                                <w:p w:rsidR="0003729D" w:rsidRDefault="0003729D" w:rsidP="00BC1296">
                                  <w:r>
                                    <w:t>G</w:t>
                                  </w:r>
                                </w:p>
                              </w:txbxContent>
                            </v:textbox>
                          </v:shape>
                        </w:pict>
                      </mc:Fallback>
                    </mc:AlternateContent>
                  </w:r>
                </w:p>
              </w:tc>
              <w:tc>
                <w:tcPr>
                  <w:tcW w:w="3229" w:type="dxa"/>
                  <w:shd w:val="clear" w:color="auto" w:fill="DEEAF6" w:themeFill="accent1" w:themeFillTint="33"/>
                </w:tcPr>
                <w:p w:rsidR="0003729D" w:rsidRPr="00C832A2" w:rsidRDefault="0003729D" w:rsidP="00224768">
                  <w:pPr>
                    <w:jc w:val="both"/>
                    <w:rPr>
                      <w:sz w:val="20"/>
                      <w:szCs w:val="20"/>
                    </w:rPr>
                  </w:pPr>
                  <w:r>
                    <w:rPr>
                      <w:sz w:val="20"/>
                      <w:szCs w:val="20"/>
                    </w:rPr>
                    <w:t>A workshop with equality group leads across HDUHB on the consultation analysis has been set up. Once complete and feedback obtained and shared as part of the closing report, the Consultation Institute have assured the consultation will obtain best practice status.</w:t>
                  </w:r>
                </w:p>
              </w:tc>
            </w:tr>
            <w:tr w:rsidR="0003729D" w:rsidTr="007D650D">
              <w:trPr>
                <w:trHeight w:val="2974"/>
              </w:trPr>
              <w:tc>
                <w:tcPr>
                  <w:tcW w:w="3076" w:type="dxa"/>
                  <w:shd w:val="clear" w:color="auto" w:fill="DEEAF6" w:themeFill="accent1" w:themeFillTint="33"/>
                </w:tcPr>
                <w:p w:rsidR="0003729D" w:rsidRPr="008249B0" w:rsidRDefault="0003729D" w:rsidP="00224768">
                  <w:pPr>
                    <w:jc w:val="both"/>
                    <w:rPr>
                      <w:sz w:val="20"/>
                      <w:szCs w:val="20"/>
                    </w:rPr>
                  </w:pPr>
                  <w:r w:rsidRPr="008249B0">
                    <w:rPr>
                      <w:sz w:val="20"/>
                      <w:szCs w:val="20"/>
                    </w:rPr>
                    <w:t>The expected capital requirements of the TMH implementation will need to be developed in advance of Board, in order to inform implementation planning.</w:t>
                  </w:r>
                </w:p>
              </w:tc>
              <w:tc>
                <w:tcPr>
                  <w:tcW w:w="2479" w:type="dxa"/>
                </w:tcPr>
                <w:p w:rsidR="0003729D" w:rsidRDefault="00176325" w:rsidP="00224768">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644525</wp:posOffset>
                            </wp:positionH>
                            <wp:positionV relativeFrom="paragraph">
                              <wp:posOffset>347345</wp:posOffset>
                            </wp:positionV>
                            <wp:extent cx="382905" cy="380365"/>
                            <wp:effectExtent l="0" t="0" r="17145" b="19685"/>
                            <wp:wrapNone/>
                            <wp:docPr id="2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80365"/>
                                    </a:xfrm>
                                    <a:prstGeom prst="flowChartConnector">
                                      <a:avLst/>
                                    </a:prstGeom>
                                    <a:solidFill>
                                      <a:srgbClr val="92D050"/>
                                    </a:solidFill>
                                    <a:ln w="9525">
                                      <a:solidFill>
                                        <a:srgbClr val="000000"/>
                                      </a:solidFill>
                                      <a:round/>
                                      <a:headEnd/>
                                      <a:tailEnd/>
                                    </a:ln>
                                  </wps:spPr>
                                  <wps:txbx>
                                    <w:txbxContent>
                                      <w:p w:rsidR="0003729D" w:rsidRDefault="0003729D" w:rsidP="00D414CC">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20" style="position:absolute;margin-left:50.75pt;margin-top:27.35pt;width:30.15pt;height: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" fillcolor="#92d050">
                            <v:textbox>
                              <w:txbxContent>
                                <w:p w:rsidR="0003729D" w:rsidRDefault="0003729D" w:rsidP="00D414CC">
                                  <w:r>
                                    <w:t>G</w:t>
                                  </w:r>
                                </w:p>
                              </w:txbxContent>
                            </v:textbox>
                          </v:shape>
                        </w:pict>
                      </mc:Fallback>
                    </mc:AlternateContent>
                  </w:r>
                </w:p>
              </w:tc>
              <w:tc>
                <w:tcPr>
                  <w:tcW w:w="3229" w:type="dxa"/>
                  <w:shd w:val="clear" w:color="auto" w:fill="DEEAF6" w:themeFill="accent1" w:themeFillTint="33"/>
                </w:tcPr>
                <w:p w:rsidR="0003729D" w:rsidRPr="008249B0" w:rsidRDefault="0003729D" w:rsidP="00224768">
                  <w:pPr>
                    <w:jc w:val="both"/>
                    <w:rPr>
                      <w:sz w:val="20"/>
                      <w:szCs w:val="20"/>
                    </w:rPr>
                  </w:pPr>
                  <w:r w:rsidRPr="008249B0">
                    <w:rPr>
                      <w:sz w:val="20"/>
                      <w:szCs w:val="20"/>
                    </w:rPr>
                    <w:t xml:space="preserve">Senior members of the Planning and Estates teams have been involved in an initial scoping exercise for the expected capital requirements of TMH. A </w:t>
                  </w:r>
                  <w:proofErr w:type="spellStart"/>
                  <w:r w:rsidRPr="008249B0">
                    <w:rPr>
                      <w:sz w:val="20"/>
                      <w:szCs w:val="20"/>
                    </w:rPr>
                    <w:t>draftGANNT</w:t>
                  </w:r>
                  <w:proofErr w:type="spellEnd"/>
                  <w:r w:rsidRPr="008249B0">
                    <w:rPr>
                      <w:sz w:val="20"/>
                      <w:szCs w:val="20"/>
                    </w:rPr>
                    <w:t xml:space="preserve"> and narrative plan to accompany this is currently being developed.</w:t>
                  </w:r>
                </w:p>
              </w:tc>
            </w:tr>
          </w:tbl>
          <w:p w:rsidR="00722777" w:rsidRDefault="00722777" w:rsidP="0081199E">
            <w:pPr>
              <w:tabs>
                <w:tab w:val="left" w:pos="2280"/>
              </w:tabs>
              <w:rPr>
                <w:rFonts w:ascii="Tahoma" w:hAnsi="Tahoma" w:cs="Tahoma"/>
              </w:rPr>
            </w:pPr>
          </w:p>
          <w:p w:rsidR="007D650D" w:rsidRDefault="007D650D" w:rsidP="0081199E">
            <w:pPr>
              <w:tabs>
                <w:tab w:val="left" w:pos="2280"/>
              </w:tabs>
              <w:rPr>
                <w:rFonts w:ascii="Tahoma" w:hAnsi="Tahoma" w:cs="Tahoma"/>
              </w:rPr>
            </w:pPr>
          </w:p>
          <w:p w:rsidR="007D650D" w:rsidRPr="00DE331C" w:rsidRDefault="007D650D" w:rsidP="0081199E">
            <w:pPr>
              <w:tabs>
                <w:tab w:val="left" w:pos="2280"/>
              </w:tabs>
              <w:rPr>
                <w:rFonts w:ascii="Tahoma" w:hAnsi="Tahoma" w:cs="Tahoma"/>
              </w:rPr>
            </w:pPr>
          </w:p>
        </w:tc>
      </w:tr>
      <w:tr w:rsidR="00722777" w:rsidRPr="00DE331C" w:rsidTr="00C928A8">
        <w:tc>
          <w:tcPr>
            <w:tcW w:w="2977" w:type="dxa"/>
            <w:shd w:val="clear" w:color="auto" w:fill="DEEAF6" w:themeFill="accent1" w:themeFillTint="33"/>
          </w:tcPr>
          <w:p w:rsidR="00722777" w:rsidRPr="00C928A8" w:rsidRDefault="00722777" w:rsidP="00524893">
            <w:pPr>
              <w:tabs>
                <w:tab w:val="left" w:pos="2280"/>
              </w:tabs>
              <w:rPr>
                <w:rFonts w:ascii="Tahoma" w:hAnsi="Tahoma" w:cs="Tahoma"/>
              </w:rPr>
            </w:pPr>
            <w:r w:rsidRPr="00C928A8">
              <w:rPr>
                <w:rFonts w:ascii="Tahoma" w:hAnsi="Tahoma" w:cs="Tahoma"/>
              </w:rPr>
              <w:lastRenderedPageBreak/>
              <w:t xml:space="preserve">Key Milestones </w:t>
            </w:r>
          </w:p>
        </w:tc>
        <w:tc>
          <w:tcPr>
            <w:tcW w:w="7229" w:type="dxa"/>
          </w:tcPr>
          <w:p w:rsidR="00CC087D" w:rsidRPr="00A279B6" w:rsidRDefault="00CC087D" w:rsidP="00A279B6">
            <w:pPr>
              <w:tabs>
                <w:tab w:val="left" w:pos="2280"/>
              </w:tabs>
              <w:ind w:left="360"/>
              <w:rPr>
                <w:rFonts w:ascii="Tahoma" w:hAnsi="Tahoma" w:cs="Tahoma"/>
              </w:rPr>
            </w:pPr>
          </w:p>
          <w:tbl>
            <w:tblPr>
              <w:tblStyle w:val="TableGrid"/>
              <w:tblW w:w="8748" w:type="dxa"/>
              <w:tblLook w:val="04A0" w:firstRow="1" w:lastRow="0" w:firstColumn="1" w:lastColumn="0" w:noHBand="0" w:noVBand="1"/>
            </w:tblPr>
            <w:tblGrid>
              <w:gridCol w:w="4298"/>
              <w:gridCol w:w="4450"/>
            </w:tblGrid>
            <w:tr w:rsidR="00CC087D" w:rsidRPr="00B90C81" w:rsidTr="00CC087D">
              <w:trPr>
                <w:trHeight w:val="260"/>
              </w:trPr>
              <w:tc>
                <w:tcPr>
                  <w:tcW w:w="8748" w:type="dxa"/>
                  <w:gridSpan w:val="2"/>
                  <w:shd w:val="clear" w:color="auto" w:fill="2E74B5" w:themeFill="accent1" w:themeFillShade="BF"/>
                </w:tcPr>
                <w:p w:rsidR="00CC087D" w:rsidRPr="00B90C81" w:rsidRDefault="00CC087D" w:rsidP="00CC087D">
                  <w:pPr>
                    <w:tabs>
                      <w:tab w:val="left" w:pos="2268"/>
                    </w:tabs>
                    <w:jc w:val="center"/>
                  </w:pPr>
                  <w:r w:rsidRPr="00B90C81">
                    <w:rPr>
                      <w:b/>
                      <w:color w:val="FFFFFF" w:themeColor="background1"/>
                    </w:rPr>
                    <w:t>Management Summary</w:t>
                  </w:r>
                </w:p>
              </w:tc>
            </w:tr>
            <w:tr w:rsidR="0003729D" w:rsidRPr="00B90C81" w:rsidTr="00CC087D">
              <w:trPr>
                <w:trHeight w:val="2084"/>
              </w:trPr>
              <w:tc>
                <w:tcPr>
                  <w:tcW w:w="4298" w:type="dxa"/>
                  <w:shd w:val="clear" w:color="auto" w:fill="DEEAF6" w:themeFill="accent1" w:themeFillTint="33"/>
                </w:tcPr>
                <w:p w:rsidR="0003729D" w:rsidRPr="00B90C81" w:rsidRDefault="0003729D" w:rsidP="00224768">
                  <w:pPr>
                    <w:rPr>
                      <w:b/>
                    </w:rPr>
                  </w:pPr>
                  <w:r w:rsidRPr="00B90C81">
                    <w:rPr>
                      <w:b/>
                    </w:rPr>
                    <w:lastRenderedPageBreak/>
                    <w:t>Developments and achievements this month:</w:t>
                  </w:r>
                </w:p>
                <w:p w:rsidR="0003729D" w:rsidRPr="00B90C81" w:rsidRDefault="0003729D" w:rsidP="00224768"/>
                <w:p w:rsidR="0003729D" w:rsidRDefault="0003729D" w:rsidP="0003729D">
                  <w:pPr>
                    <w:pStyle w:val="ListParagraph"/>
                    <w:numPr>
                      <w:ilvl w:val="0"/>
                      <w:numId w:val="6"/>
                    </w:numPr>
                  </w:pPr>
                  <w:r>
                    <w:t>TOR and PID updated to reflect implementation phase</w:t>
                  </w:r>
                </w:p>
                <w:p w:rsidR="0003729D" w:rsidRDefault="0003729D" w:rsidP="0003729D">
                  <w:pPr>
                    <w:pStyle w:val="ListParagraph"/>
                    <w:numPr>
                      <w:ilvl w:val="0"/>
                      <w:numId w:val="6"/>
                    </w:numPr>
                  </w:pPr>
                  <w:r>
                    <w:t>Governance structure outlined for implementation phase</w:t>
                  </w:r>
                </w:p>
                <w:p w:rsidR="0003729D" w:rsidRDefault="0003729D" w:rsidP="0003729D">
                  <w:pPr>
                    <w:pStyle w:val="ListParagraph"/>
                    <w:numPr>
                      <w:ilvl w:val="0"/>
                      <w:numId w:val="6"/>
                    </w:numPr>
                  </w:pPr>
                  <w:r>
                    <w:t>High level implementation GANNT complete</w:t>
                  </w:r>
                </w:p>
                <w:p w:rsidR="0003729D" w:rsidRPr="00B90C81" w:rsidRDefault="0003729D" w:rsidP="00224768">
                  <w:pPr>
                    <w:pStyle w:val="ListParagraph"/>
                  </w:pPr>
                </w:p>
              </w:tc>
              <w:tc>
                <w:tcPr>
                  <w:tcW w:w="4450" w:type="dxa"/>
                  <w:shd w:val="clear" w:color="auto" w:fill="D5DCE4" w:themeFill="text2" w:themeFillTint="33"/>
                </w:tcPr>
                <w:p w:rsidR="0003729D" w:rsidRPr="00B90C81" w:rsidRDefault="0003729D" w:rsidP="00224768">
                  <w:pPr>
                    <w:rPr>
                      <w:b/>
                    </w:rPr>
                  </w:pPr>
                  <w:r w:rsidRPr="00B90C81">
                    <w:rPr>
                      <w:b/>
                    </w:rPr>
                    <w:t>Targets for next month:</w:t>
                  </w:r>
                </w:p>
                <w:p w:rsidR="0003729D" w:rsidRPr="00B90C81" w:rsidRDefault="0003729D" w:rsidP="00224768">
                  <w:pPr>
                    <w:rPr>
                      <w:b/>
                    </w:rPr>
                  </w:pPr>
                </w:p>
                <w:p w:rsidR="0003729D" w:rsidRDefault="0003729D" w:rsidP="0003729D">
                  <w:pPr>
                    <w:pStyle w:val="ListParagraph"/>
                    <w:numPr>
                      <w:ilvl w:val="0"/>
                      <w:numId w:val="6"/>
                    </w:numPr>
                  </w:pPr>
                  <w:r>
                    <w:t>Consultation analysis report completed</w:t>
                  </w:r>
                </w:p>
                <w:p w:rsidR="0003729D" w:rsidRDefault="0003729D" w:rsidP="0003729D">
                  <w:pPr>
                    <w:pStyle w:val="ListParagraph"/>
                    <w:numPr>
                      <w:ilvl w:val="0"/>
                      <w:numId w:val="6"/>
                    </w:numPr>
                  </w:pPr>
                  <w:r>
                    <w:t>Key stakeholder and staff feedback on consultation analysis gathered</w:t>
                  </w:r>
                </w:p>
                <w:p w:rsidR="0003729D" w:rsidRPr="00B90C81" w:rsidRDefault="0003729D" w:rsidP="0003729D">
                  <w:pPr>
                    <w:pStyle w:val="ListParagraph"/>
                    <w:numPr>
                      <w:ilvl w:val="0"/>
                      <w:numId w:val="6"/>
                    </w:numPr>
                  </w:pPr>
                  <w:r>
                    <w:t xml:space="preserve">Closing Report complete, inclusive of influence of analysis feedback on proposed model </w:t>
                  </w:r>
                </w:p>
                <w:p w:rsidR="0003729D" w:rsidRDefault="0003729D" w:rsidP="0003729D">
                  <w:pPr>
                    <w:pStyle w:val="ListParagraph"/>
                    <w:numPr>
                      <w:ilvl w:val="0"/>
                      <w:numId w:val="6"/>
                    </w:numPr>
                  </w:pPr>
                  <w:r>
                    <w:t xml:space="preserve">Outline implementation plan complete </w:t>
                  </w:r>
                </w:p>
                <w:p w:rsidR="0003729D" w:rsidRDefault="0003729D" w:rsidP="0003729D">
                  <w:pPr>
                    <w:pStyle w:val="ListParagraph"/>
                    <w:numPr>
                      <w:ilvl w:val="0"/>
                      <w:numId w:val="6"/>
                    </w:numPr>
                  </w:pPr>
                  <w:r>
                    <w:t xml:space="preserve">Implementation </w:t>
                  </w:r>
                  <w:proofErr w:type="spellStart"/>
                  <w:r>
                    <w:t>workstreams</w:t>
                  </w:r>
                  <w:proofErr w:type="spellEnd"/>
                  <w:r>
                    <w:t xml:space="preserve"> established</w:t>
                  </w:r>
                </w:p>
                <w:p w:rsidR="0003729D" w:rsidRDefault="0003729D" w:rsidP="00224768">
                  <w:pPr>
                    <w:pStyle w:val="ListParagraph"/>
                  </w:pPr>
                </w:p>
                <w:p w:rsidR="0003729D" w:rsidRDefault="0003729D" w:rsidP="00224768">
                  <w:pPr>
                    <w:pStyle w:val="ListParagraph"/>
                  </w:pPr>
                </w:p>
                <w:p w:rsidR="0003729D" w:rsidRPr="00B90C81" w:rsidRDefault="0003729D" w:rsidP="00224768">
                  <w:pPr>
                    <w:pStyle w:val="ListParagraph"/>
                  </w:pPr>
                </w:p>
              </w:tc>
            </w:tr>
          </w:tbl>
          <w:p w:rsidR="008403F1" w:rsidRDefault="008403F1" w:rsidP="00A279B6">
            <w:pPr>
              <w:tabs>
                <w:tab w:val="left" w:pos="2280"/>
              </w:tabs>
              <w:ind w:left="360"/>
              <w:rPr>
                <w:rFonts w:ascii="Tahoma" w:hAnsi="Tahoma" w:cs="Tahoma"/>
              </w:rPr>
            </w:pPr>
          </w:p>
          <w:p w:rsidR="00CC087D" w:rsidRDefault="00CC087D" w:rsidP="00A279B6">
            <w:pPr>
              <w:tabs>
                <w:tab w:val="left" w:pos="2280"/>
              </w:tabs>
              <w:ind w:left="360"/>
              <w:rPr>
                <w:rFonts w:ascii="Tahoma" w:hAnsi="Tahoma" w:cs="Tahoma"/>
              </w:rPr>
            </w:pPr>
          </w:p>
          <w:p w:rsidR="00CC087D" w:rsidRPr="00A279B6" w:rsidRDefault="00CC087D" w:rsidP="00A279B6">
            <w:pPr>
              <w:tabs>
                <w:tab w:val="left" w:pos="2280"/>
              </w:tabs>
              <w:ind w:left="360"/>
              <w:rPr>
                <w:rFonts w:ascii="Tahoma" w:hAnsi="Tahoma" w:cs="Tahoma"/>
              </w:rPr>
            </w:pP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rPr>
            </w:pPr>
            <w:r w:rsidRPr="00DE331C">
              <w:rPr>
                <w:rFonts w:ascii="Tahoma" w:hAnsi="Tahoma" w:cs="Tahoma"/>
                <w:bCs/>
              </w:rPr>
              <w:lastRenderedPageBreak/>
              <w:t>Milestones achieved/Outputs (deliverables) completed in last period</w:t>
            </w:r>
          </w:p>
        </w:tc>
        <w:tc>
          <w:tcPr>
            <w:tcW w:w="7229" w:type="dxa"/>
          </w:tcPr>
          <w:p w:rsidR="008403F1" w:rsidRPr="00A279B6" w:rsidRDefault="00C012AB" w:rsidP="00A279B6">
            <w:pPr>
              <w:tabs>
                <w:tab w:val="left" w:pos="2280"/>
              </w:tabs>
              <w:ind w:left="360"/>
              <w:rPr>
                <w:rFonts w:ascii="Tahoma" w:hAnsi="Tahoma" w:cs="Tahoma"/>
              </w:rPr>
            </w:pPr>
            <w:r>
              <w:rPr>
                <w:rFonts w:ascii="Tahoma" w:hAnsi="Tahoma" w:cs="Tahoma"/>
              </w:rPr>
              <w:t>As above</w:t>
            </w: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t>Shortfalls/Non-completions in last period</w:t>
            </w:r>
          </w:p>
        </w:tc>
        <w:tc>
          <w:tcPr>
            <w:tcW w:w="7229" w:type="dxa"/>
          </w:tcPr>
          <w:p w:rsidR="0081199E" w:rsidRPr="00A279B6" w:rsidRDefault="00C012AB" w:rsidP="00A279B6">
            <w:pPr>
              <w:ind w:left="360"/>
              <w:rPr>
                <w:rFonts w:ascii="Tahoma" w:hAnsi="Tahoma" w:cs="Tahoma"/>
              </w:rPr>
            </w:pPr>
            <w:r>
              <w:rPr>
                <w:rFonts w:ascii="Tahoma" w:hAnsi="Tahoma" w:cs="Tahoma"/>
              </w:rPr>
              <w:t>N/A</w:t>
            </w: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t>Forecast for next period</w:t>
            </w:r>
          </w:p>
        </w:tc>
        <w:tc>
          <w:tcPr>
            <w:tcW w:w="7229" w:type="dxa"/>
          </w:tcPr>
          <w:p w:rsidR="002F583C" w:rsidRPr="00DE331C" w:rsidRDefault="00C012AB" w:rsidP="000F10CA">
            <w:pPr>
              <w:pStyle w:val="Default"/>
              <w:spacing w:after="142"/>
              <w:rPr>
                <w:rFonts w:ascii="Tahoma" w:hAnsi="Tahoma" w:cs="Tahoma"/>
                <w:color w:val="auto"/>
                <w:sz w:val="22"/>
                <w:szCs w:val="22"/>
              </w:rPr>
            </w:pPr>
            <w:r>
              <w:rPr>
                <w:rFonts w:ascii="Tahoma" w:hAnsi="Tahoma" w:cs="Tahoma"/>
                <w:color w:val="auto"/>
                <w:sz w:val="22"/>
                <w:szCs w:val="22"/>
              </w:rPr>
              <w:t>As above</w:t>
            </w:r>
          </w:p>
        </w:tc>
      </w:tr>
      <w:tr w:rsidR="00722777" w:rsidRPr="00DE331C" w:rsidTr="00C928A8">
        <w:tc>
          <w:tcPr>
            <w:tcW w:w="2977" w:type="dxa"/>
            <w:shd w:val="clear" w:color="auto" w:fill="DEEAF6" w:themeFill="accent1" w:themeFillTint="33"/>
          </w:tcPr>
          <w:p w:rsidR="00722777" w:rsidRPr="00DE331C" w:rsidRDefault="00722777" w:rsidP="00524893">
            <w:pPr>
              <w:tabs>
                <w:tab w:val="left" w:pos="2280"/>
              </w:tabs>
              <w:rPr>
                <w:rFonts w:ascii="Tahoma" w:hAnsi="Tahoma" w:cs="Tahoma"/>
                <w:bCs/>
              </w:rPr>
            </w:pPr>
            <w:r w:rsidRPr="00DE331C">
              <w:rPr>
                <w:rFonts w:ascii="Tahoma" w:hAnsi="Tahoma" w:cs="Tahoma"/>
                <w:bCs/>
              </w:rPr>
              <w:t>Financial status</w:t>
            </w:r>
          </w:p>
        </w:tc>
        <w:tc>
          <w:tcPr>
            <w:tcW w:w="7229" w:type="dxa"/>
          </w:tcPr>
          <w:p w:rsidR="00EC3FC3" w:rsidRPr="00DE331C" w:rsidRDefault="00EC3FC3" w:rsidP="00DE331C">
            <w:pPr>
              <w:pStyle w:val="Default"/>
              <w:rPr>
                <w:rFonts w:ascii="Tahoma" w:hAnsi="Tahoma" w:cs="Tahoma"/>
                <w:color w:val="auto"/>
                <w:sz w:val="22"/>
                <w:szCs w:val="22"/>
              </w:rPr>
            </w:pPr>
          </w:p>
        </w:tc>
      </w:tr>
    </w:tbl>
    <w:p w:rsidR="00524893" w:rsidRDefault="00524893" w:rsidP="00FF1625">
      <w:pPr>
        <w:tabs>
          <w:tab w:val="left" w:pos="2280"/>
        </w:tabs>
        <w:jc w:val="center"/>
        <w:rPr>
          <w:rFonts w:ascii="Tahoma" w:hAnsi="Tahoma" w:cs="Tahoma"/>
        </w:rPr>
      </w:pPr>
    </w:p>
    <w:p w:rsidR="00524893" w:rsidRDefault="00524893" w:rsidP="00524893">
      <w:pPr>
        <w:pStyle w:val="Default"/>
      </w:pPr>
    </w:p>
    <w:p w:rsidR="00524893" w:rsidRPr="00722777" w:rsidRDefault="00524893" w:rsidP="00722777">
      <w:pPr>
        <w:pStyle w:val="Default"/>
      </w:pPr>
    </w:p>
    <w:p w:rsidR="00524893" w:rsidRDefault="00524893" w:rsidP="00FF1625">
      <w:pPr>
        <w:tabs>
          <w:tab w:val="left" w:pos="2280"/>
        </w:tabs>
        <w:jc w:val="center"/>
        <w:rPr>
          <w:rFonts w:ascii="Tahoma" w:hAnsi="Tahoma" w:cs="Tahoma"/>
        </w:rPr>
      </w:pPr>
    </w:p>
    <w:p w:rsidR="00524893" w:rsidRPr="00FF1625" w:rsidRDefault="00524893" w:rsidP="00FF1625">
      <w:pPr>
        <w:tabs>
          <w:tab w:val="left" w:pos="2280"/>
        </w:tabs>
        <w:jc w:val="center"/>
        <w:rPr>
          <w:rFonts w:ascii="Tahoma" w:hAnsi="Tahoma" w:cs="Tahoma"/>
        </w:rPr>
      </w:pPr>
    </w:p>
    <w:sectPr w:rsidR="00524893" w:rsidRPr="00FF1625" w:rsidSect="00524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720"/>
    <w:multiLevelType w:val="hybridMultilevel"/>
    <w:tmpl w:val="7FD4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A7A3B"/>
    <w:multiLevelType w:val="hybridMultilevel"/>
    <w:tmpl w:val="06C2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C2AC9"/>
    <w:multiLevelType w:val="hybridMultilevel"/>
    <w:tmpl w:val="42063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B6591"/>
    <w:multiLevelType w:val="hybridMultilevel"/>
    <w:tmpl w:val="94B20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6820DC"/>
    <w:multiLevelType w:val="hybridMultilevel"/>
    <w:tmpl w:val="9388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726FC"/>
    <w:multiLevelType w:val="hybridMultilevel"/>
    <w:tmpl w:val="A310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46930"/>
    <w:multiLevelType w:val="hybridMultilevel"/>
    <w:tmpl w:val="F806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0"/>
    <w:rsid w:val="0003729D"/>
    <w:rsid w:val="00094804"/>
    <w:rsid w:val="000F10CA"/>
    <w:rsid w:val="00176325"/>
    <w:rsid w:val="0019168A"/>
    <w:rsid w:val="001C19F6"/>
    <w:rsid w:val="002A1569"/>
    <w:rsid w:val="002F583C"/>
    <w:rsid w:val="00345810"/>
    <w:rsid w:val="003762A5"/>
    <w:rsid w:val="00393EEC"/>
    <w:rsid w:val="003A1628"/>
    <w:rsid w:val="004356D2"/>
    <w:rsid w:val="00443E65"/>
    <w:rsid w:val="00481509"/>
    <w:rsid w:val="00524893"/>
    <w:rsid w:val="005423C3"/>
    <w:rsid w:val="0058703B"/>
    <w:rsid w:val="005A652B"/>
    <w:rsid w:val="005C7AC9"/>
    <w:rsid w:val="005D0EF4"/>
    <w:rsid w:val="00682CCA"/>
    <w:rsid w:val="006D63DA"/>
    <w:rsid w:val="00722777"/>
    <w:rsid w:val="007A03D4"/>
    <w:rsid w:val="007D650D"/>
    <w:rsid w:val="0081199E"/>
    <w:rsid w:val="00816755"/>
    <w:rsid w:val="008403F1"/>
    <w:rsid w:val="00982898"/>
    <w:rsid w:val="00A279B6"/>
    <w:rsid w:val="00A41C17"/>
    <w:rsid w:val="00AF3B85"/>
    <w:rsid w:val="00BA68ED"/>
    <w:rsid w:val="00BB2ED5"/>
    <w:rsid w:val="00C012AB"/>
    <w:rsid w:val="00C02B79"/>
    <w:rsid w:val="00C928A8"/>
    <w:rsid w:val="00CC087D"/>
    <w:rsid w:val="00CE729D"/>
    <w:rsid w:val="00D54CF7"/>
    <w:rsid w:val="00D638A0"/>
    <w:rsid w:val="00DA0BB8"/>
    <w:rsid w:val="00DC4E45"/>
    <w:rsid w:val="00DE331C"/>
    <w:rsid w:val="00E868FB"/>
    <w:rsid w:val="00EC07DF"/>
    <w:rsid w:val="00EC3FC3"/>
    <w:rsid w:val="00EE41EA"/>
    <w:rsid w:val="00EF0502"/>
    <w:rsid w:val="00F20FC2"/>
    <w:rsid w:val="00F5544C"/>
    <w:rsid w:val="00F97460"/>
    <w:rsid w:val="00FB4CFF"/>
    <w:rsid w:val="00FB5936"/>
    <w:rsid w:val="00FE333C"/>
    <w:rsid w:val="00FF1625"/>
    <w:rsid w:val="00FF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DE824-7FD7-4817-8381-3DFB6102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D2"/>
  </w:style>
  <w:style w:type="paragraph" w:styleId="Heading1">
    <w:name w:val="heading 1"/>
    <w:basedOn w:val="Normal"/>
    <w:next w:val="Normal"/>
    <w:link w:val="Heading1Char"/>
    <w:qFormat/>
    <w:rsid w:val="0081199E"/>
    <w:pPr>
      <w:keepNext/>
      <w:spacing w:after="0" w:line="240" w:lineRule="auto"/>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89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rsid w:val="007A03D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A03D4"/>
    <w:rPr>
      <w:rFonts w:ascii="Calibri" w:eastAsia="Calibri" w:hAnsi="Calibri" w:cs="Times New Roman"/>
      <w:sz w:val="20"/>
      <w:szCs w:val="20"/>
    </w:rPr>
  </w:style>
  <w:style w:type="paragraph" w:styleId="ListParagraph">
    <w:name w:val="List Paragraph"/>
    <w:basedOn w:val="Normal"/>
    <w:uiPriority w:val="34"/>
    <w:qFormat/>
    <w:rsid w:val="00DE331C"/>
    <w:pPr>
      <w:ind w:left="720"/>
      <w:contextualSpacing/>
    </w:pPr>
  </w:style>
  <w:style w:type="character" w:customStyle="1" w:styleId="Heading1Char">
    <w:name w:val="Heading 1 Char"/>
    <w:basedOn w:val="DefaultParagraphFont"/>
    <w:link w:val="Heading1"/>
    <w:rsid w:val="0081199E"/>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 Davies</dc:creator>
  <cp:lastModifiedBy>Martyn J Palfreman</cp:lastModifiedBy>
  <cp:revision>2</cp:revision>
  <dcterms:created xsi:type="dcterms:W3CDTF">2017-11-30T17:33:00Z</dcterms:created>
  <dcterms:modified xsi:type="dcterms:W3CDTF">2017-11-30T17:33:00Z</dcterms:modified>
</cp:coreProperties>
</file>